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bookmarkStart w:id="0" w:name="OLE_LINK25"/>
      <w:bookmarkStart w:id="1" w:name="OLE_LINK24"/>
      <w:bookmarkStart w:id="2" w:name="OLE_LINK34"/>
      <w:bookmarkStart w:id="3" w:name="OLE_LINK33"/>
      <w:bookmarkStart w:id="4" w:name="OLE_LINK13"/>
      <w:bookmarkStart w:id="5" w:name="OLE_LINK12"/>
      <w:r>
        <w:rPr>
          <w:rFonts w:hint="eastAsia" w:ascii="Arial" w:hAnsi="Arial" w:eastAsia="宋体"/>
          <w:b/>
          <w:lang w:eastAsia="ja-JP"/>
        </w:rPr>
        <w:t>3GPP TSG RAN WG1 #9</w:t>
      </w:r>
      <w:r>
        <w:rPr>
          <w:rFonts w:hint="eastAsia" w:ascii="Arial" w:hAnsi="Arial" w:eastAsia="宋体"/>
          <w:b/>
        </w:rPr>
        <w:t xml:space="preserve">6bis              </w:t>
      </w:r>
      <w:r>
        <w:rPr>
          <w:rFonts w:hint="eastAsia" w:ascii="Arial" w:hAnsi="Arial" w:eastAsia="宋体"/>
          <w:b/>
          <w:lang w:eastAsia="ja-JP"/>
        </w:rPr>
        <w:t xml:space="preserve">                            </w:t>
      </w:r>
      <w:r>
        <w:rPr>
          <w:rFonts w:hint="eastAsia" w:ascii="Arial" w:hAnsi="Arial" w:eastAsia="宋体"/>
          <w:b/>
        </w:rPr>
        <w:t xml:space="preserve"> </w:t>
      </w:r>
      <w:r>
        <w:rPr>
          <w:rFonts w:ascii="Arial" w:hAnsi="Arial" w:eastAsia="宋体"/>
          <w:b/>
        </w:rPr>
        <w:t xml:space="preserve">   </w:t>
      </w:r>
      <w:r>
        <w:rPr>
          <w:rFonts w:hint="eastAsia" w:ascii="Arial" w:hAnsi="Arial" w:eastAsia="宋体"/>
          <w:b/>
          <w:lang w:eastAsia="ja-JP"/>
        </w:rPr>
        <w:t>R1-19</w:t>
      </w:r>
      <w:r>
        <w:rPr>
          <w:rFonts w:hint="eastAsia" w:ascii="Arial" w:hAnsi="Arial" w:eastAsia="宋体"/>
          <w:b/>
        </w:rPr>
        <w:t>04021</w:t>
      </w:r>
      <w:r>
        <w:rPr>
          <w:rFonts w:hint="eastAsia" w:ascii="Arial" w:hAnsi="Arial" w:eastAsia="宋体"/>
          <w:b/>
          <w:lang w:eastAsia="ja-JP"/>
        </w:rPr>
        <w:t xml:space="preserve">                                                                          </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lang w:eastAsia="ja-JP"/>
        </w:rPr>
        <w:t>Xi</w:t>
      </w:r>
      <w:r>
        <w:rPr>
          <w:rFonts w:ascii="Arial" w:hAnsi="Arial" w:eastAsia="宋体"/>
          <w:b/>
        </w:rPr>
        <w:t>’</w:t>
      </w:r>
      <w:r>
        <w:rPr>
          <w:rFonts w:hint="eastAsia" w:ascii="Arial" w:hAnsi="Arial" w:eastAsia="宋体"/>
          <w:b/>
          <w:lang w:eastAsia="ja-JP"/>
        </w:rPr>
        <w:t>an, China, 8</w:t>
      </w:r>
      <w:r>
        <w:rPr>
          <w:rFonts w:hint="eastAsia" w:ascii="Arial" w:hAnsi="Arial" w:eastAsia="宋体"/>
          <w:b/>
          <w:vertAlign w:val="superscript"/>
          <w:lang w:eastAsia="ja-JP"/>
        </w:rPr>
        <w:t>th</w:t>
      </w:r>
      <w:r>
        <w:rPr>
          <w:rFonts w:hint="eastAsia" w:ascii="Arial" w:hAnsi="Arial" w:eastAsia="宋体"/>
          <w:b/>
        </w:rPr>
        <w:t xml:space="preserve"> - </w:t>
      </w:r>
      <w:r>
        <w:rPr>
          <w:rFonts w:hint="eastAsia" w:ascii="Arial" w:hAnsi="Arial" w:eastAsia="宋体"/>
          <w:b/>
          <w:lang w:eastAsia="ja-JP"/>
        </w:rPr>
        <w:t>12</w:t>
      </w:r>
      <w:r>
        <w:rPr>
          <w:rFonts w:hint="eastAsia" w:ascii="Arial" w:hAnsi="Arial" w:eastAsia="宋体"/>
          <w:b/>
          <w:vertAlign w:val="superscript"/>
          <w:lang w:eastAsia="ja-JP"/>
        </w:rPr>
        <w:t>th</w:t>
      </w:r>
      <w:r>
        <w:rPr>
          <w:rFonts w:hint="eastAsia" w:ascii="Arial" w:hAnsi="Arial" w:eastAsia="宋体"/>
          <w:b/>
          <w:lang w:eastAsia="ja-JP"/>
        </w:rPr>
        <w:t xml:space="preserve"> April, 2019</w:t>
      </w:r>
    </w:p>
    <w:p>
      <w:pPr>
        <w:tabs>
          <w:tab w:val="center" w:pos="4536"/>
          <w:tab w:val="right" w:pos="8280"/>
          <w:tab w:val="right" w:pos="9639"/>
        </w:tabs>
        <w:snapToGrid w:val="0"/>
        <w:spacing w:after="0" w:line="240" w:lineRule="auto"/>
        <w:ind w:left="442" w:right="2" w:hanging="442" w:hangingChars="200"/>
        <w:rPr>
          <w:rFonts w:ascii="Arial" w:hAnsi="Arial" w:eastAsia="宋体"/>
          <w:b/>
        </w:rPr>
      </w:pPr>
    </w:p>
    <w:bookmarkEnd w:id="0"/>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Source:         ZTE</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Title:            Considerations on beam management for multi-TRP</w:t>
      </w:r>
    </w:p>
    <w:bookmarkEnd w:id="1"/>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lang w:eastAsia="ja-JP"/>
        </w:rPr>
        <w:t xml:space="preserve">Agenda item:    </w:t>
      </w:r>
      <w:r>
        <w:rPr>
          <w:rFonts w:hint="eastAsia" w:ascii="Arial" w:hAnsi="Arial" w:eastAsia="宋体"/>
          <w:b/>
        </w:rPr>
        <w:t>7.2.8.6</w:t>
      </w:r>
    </w:p>
    <w:bookmarkEnd w:id="2"/>
    <w:bookmarkEnd w:id="3"/>
    <w:bookmarkEnd w:id="4"/>
    <w:bookmarkEnd w:id="5"/>
    <w:p>
      <w:pPr>
        <w:pBdr>
          <w:bottom w:val="single" w:color="auto" w:sz="6" w:space="1"/>
        </w:pBdr>
        <w:snapToGrid w:val="0"/>
        <w:spacing w:after="0" w:line="240" w:lineRule="auto"/>
        <w:ind w:left="1797" w:hanging="1797"/>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snapToGrid w:val="0"/>
        <w:spacing w:before="180" w:beforeLines="50" w:after="180" w:afterLines="50"/>
        <w:ind w:left="431" w:hanging="431"/>
        <w:rPr>
          <w:sz w:val="28"/>
          <w:lang w:val="en-US"/>
        </w:rPr>
      </w:pPr>
      <w:r>
        <w:rPr>
          <w:sz w:val="28"/>
          <w:lang w:val="en-US"/>
        </w:rPr>
        <w:t>Introduction</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RAN1#95 meeting, both single PDCCH and multiple PDCCH designs were agreed as follows [1]</w:t>
      </w:r>
    </w:p>
    <w:p>
      <w:pPr>
        <w:snapToGrid w:val="0"/>
        <w:spacing w:after="0" w:line="240" w:lineRule="auto"/>
        <w:jc w:val="both"/>
        <w:rPr>
          <w:rFonts w:ascii="Times New Roman" w:hAnsi="Times New Roman"/>
          <w:b/>
          <w:i/>
          <w:iCs/>
          <w:sz w:val="20"/>
          <w:szCs w:val="20"/>
          <w:u w:val="single"/>
        </w:rPr>
      </w:pPr>
      <w:r>
        <w:rPr>
          <w:rFonts w:ascii="Times New Roman" w:hAnsi="Times New Roman"/>
          <w:b/>
          <w:i/>
          <w:iCs/>
          <w:sz w:val="20"/>
          <w:szCs w:val="20"/>
          <w:u w:val="single"/>
        </w:rPr>
        <w:t>Agreement#1:</w:t>
      </w:r>
    </w:p>
    <w:p>
      <w:pPr>
        <w:snapToGrid w:val="0"/>
        <w:spacing w:after="0" w:line="240" w:lineRule="auto"/>
        <w:jc w:val="both"/>
        <w:rPr>
          <w:rFonts w:ascii="Times New Roman" w:hAnsi="Times New Roman"/>
          <w:i/>
          <w:iCs/>
          <w:sz w:val="20"/>
          <w:szCs w:val="20"/>
        </w:rPr>
      </w:pPr>
      <w:r>
        <w:rPr>
          <w:rFonts w:ascii="Times New Roman" w:hAnsi="Times New Roman"/>
          <w:i/>
          <w:iCs/>
          <w:sz w:val="20"/>
          <w:szCs w:val="20"/>
        </w:rPr>
        <w:t>For multi-TRP/panel transmission, both multiple PDCCH and single PDCCH designs are supported in Rel-16</w:t>
      </w:r>
    </w:p>
    <w:p>
      <w:pPr>
        <w:numPr>
          <w:ilvl w:val="0"/>
          <w:numId w:val="2"/>
        </w:numPr>
        <w:snapToGrid w:val="0"/>
        <w:spacing w:after="0" w:line="240" w:lineRule="auto"/>
        <w:jc w:val="both"/>
        <w:rPr>
          <w:rFonts w:ascii="Times New Roman" w:hAnsi="Times New Roman"/>
          <w:sz w:val="20"/>
          <w:szCs w:val="20"/>
        </w:rPr>
      </w:pPr>
      <w:r>
        <w:rPr>
          <w:rFonts w:ascii="Times New Roman" w:hAnsi="Times New Roman"/>
          <w:i/>
          <w:iCs/>
          <w:sz w:val="20"/>
          <w:szCs w:val="20"/>
        </w:rPr>
        <w:t>Applies for eMBB</w:t>
      </w:r>
    </w:p>
    <w:p>
      <w:pPr>
        <w:numPr>
          <w:ilvl w:val="255"/>
          <w:numId w:val="0"/>
        </w:numPr>
        <w:snapToGrid w:val="0"/>
        <w:spacing w:after="0" w:line="240" w:lineRule="auto"/>
        <w:ind w:left="360"/>
        <w:jc w:val="both"/>
        <w:rPr>
          <w:rFonts w:ascii="Times New Roman" w:hAnsi="Times New Roman"/>
          <w:sz w:val="20"/>
          <w:szCs w:val="20"/>
        </w:rPr>
      </w:pPr>
    </w:p>
    <w:p>
      <w:pPr>
        <w:pStyle w:val="88"/>
        <w:snapToGrid w:val="0"/>
        <w:spacing w:after="0" w:line="240" w:lineRule="auto"/>
        <w:ind w:left="0" w:leftChars="0"/>
        <w:contextualSpacing/>
        <w:jc w:val="both"/>
        <w:rPr>
          <w:rFonts w:ascii="Times New Roman" w:hAnsi="Times New Roman" w:eastAsia="宋体"/>
          <w:color w:val="000000"/>
          <w:sz w:val="20"/>
          <w:szCs w:val="20"/>
        </w:rPr>
      </w:pPr>
      <w:r>
        <w:rPr>
          <w:rFonts w:hint="eastAsia" w:ascii="Times New Roman" w:hAnsi="Times New Roman" w:eastAsia="宋体"/>
          <w:sz w:val="20"/>
          <w:szCs w:val="20"/>
        </w:rPr>
        <w:t>In order t</w:t>
      </w:r>
      <w:r>
        <w:rPr>
          <w:rFonts w:ascii="Times New Roman" w:hAnsi="Times New Roman" w:eastAsia="宋体"/>
          <w:color w:val="000000"/>
          <w:sz w:val="20"/>
          <w:szCs w:val="20"/>
          <w:shd w:val="clear" w:color="auto" w:fill="FFFFFF"/>
          <w:lang w:bidi="ar"/>
        </w:rPr>
        <w:t>o facilitate further down-selection for one or more schemes in RAN1#96bis, schemes for multi-TRP based URLLC, scheduled by single DCI at least, are clarified</w:t>
      </w:r>
      <w:r>
        <w:rPr>
          <w:rFonts w:hint="eastAsia" w:ascii="Times New Roman" w:hAnsi="Times New Roman" w:eastAsia="宋体"/>
          <w:color w:val="000000"/>
          <w:sz w:val="20"/>
          <w:szCs w:val="20"/>
          <w:shd w:val="clear" w:color="auto" w:fill="FFFFFF"/>
          <w:lang w:bidi="ar"/>
        </w:rPr>
        <w:t xml:space="preserve"> via email discussion</w:t>
      </w:r>
      <w:r>
        <w:rPr>
          <w:rFonts w:ascii="Times New Roman" w:hAnsi="Times New Roman" w:eastAsia="宋体"/>
          <w:color w:val="000000"/>
          <w:sz w:val="20"/>
          <w:szCs w:val="20"/>
          <w:shd w:val="clear" w:color="auto" w:fill="FFFFFF"/>
          <w:lang w:bidi="ar"/>
        </w:rPr>
        <w:t xml:space="preserve"> as follow</w:t>
      </w:r>
      <w:r>
        <w:rPr>
          <w:rFonts w:hint="eastAsia" w:ascii="Times New Roman" w:hAnsi="Times New Roman" w:eastAsia="宋体"/>
          <w:color w:val="000000"/>
          <w:sz w:val="20"/>
          <w:szCs w:val="20"/>
          <w:shd w:val="clear" w:color="auto" w:fill="FFFFFF"/>
          <w:lang w:bidi="ar"/>
        </w:rPr>
        <w:t>s</w:t>
      </w:r>
      <w:r>
        <w:rPr>
          <w:rFonts w:ascii="Times New Roman" w:hAnsi="Times New Roman" w:eastAsia="宋体"/>
          <w:color w:val="000000"/>
          <w:sz w:val="20"/>
          <w:szCs w:val="20"/>
          <w:shd w:val="clear" w:color="auto" w:fill="FFFFFF"/>
          <w:lang w:bidi="ar"/>
        </w:rPr>
        <w:t>:</w:t>
      </w:r>
    </w:p>
    <w:p>
      <w:pPr>
        <w:pStyle w:val="91"/>
        <w:numPr>
          <w:ilvl w:val="0"/>
          <w:numId w:val="3"/>
        </w:numPr>
        <w:snapToGrid w:val="0"/>
        <w:spacing w:after="0" w:line="240" w:lineRule="auto"/>
        <w:jc w:val="both"/>
        <w:rPr>
          <w:color w:val="000000"/>
          <w:sz w:val="20"/>
        </w:rPr>
      </w:pPr>
      <w:r>
        <w:rPr>
          <w:i/>
          <w:iCs/>
          <w:sz w:val="20"/>
        </w:rPr>
        <w:t>Scheme 1 (SDM):  n (n&lt;=Ns) TCI states within the single slot, with overlapped time and frequency resource allocation</w:t>
      </w:r>
    </w:p>
    <w:p>
      <w:pPr>
        <w:pStyle w:val="91"/>
        <w:numPr>
          <w:ilvl w:val="1"/>
          <w:numId w:val="3"/>
        </w:numPr>
        <w:snapToGrid w:val="0"/>
        <w:spacing w:after="0" w:line="240" w:lineRule="auto"/>
        <w:jc w:val="both"/>
        <w:rPr>
          <w:color w:val="000000"/>
          <w:sz w:val="20"/>
        </w:rPr>
      </w:pPr>
      <w:r>
        <w:rPr>
          <w:rStyle w:val="66"/>
          <w:color w:val="000000"/>
          <w:sz w:val="20"/>
          <w:shd w:val="clear" w:color="auto" w:fill="FFFFFF"/>
          <w:lang w:bidi="ar"/>
        </w:rPr>
        <w:t> </w:t>
      </w:r>
      <w:r>
        <w:rPr>
          <w:color w:val="000000"/>
          <w:sz w:val="20"/>
          <w:shd w:val="clear" w:color="auto" w:fill="FFFFFF"/>
          <w:lang w:bidi="ar"/>
        </w:rPr>
        <w:t>Scheme 1a: </w:t>
      </w:r>
    </w:p>
    <w:p>
      <w:pPr>
        <w:pStyle w:val="91"/>
        <w:numPr>
          <w:ilvl w:val="2"/>
          <w:numId w:val="3"/>
        </w:numPr>
        <w:snapToGrid w:val="0"/>
        <w:spacing w:after="0" w:line="240" w:lineRule="auto"/>
        <w:jc w:val="both"/>
        <w:rPr>
          <w:color w:val="000000"/>
          <w:sz w:val="20"/>
        </w:rPr>
      </w:pPr>
      <w:r>
        <w:rPr>
          <w:color w:val="000000"/>
          <w:sz w:val="20"/>
          <w:shd w:val="clear" w:color="auto" w:fill="FFFFFF"/>
          <w:lang w:bidi="ar"/>
        </w:rPr>
        <w:t>Each transmission occasion is a layer or a set of layers of the same TB, with each layer or layer set is associated with one TCI and one set of DMRS port(s). </w:t>
      </w:r>
    </w:p>
    <w:p>
      <w:pPr>
        <w:pStyle w:val="91"/>
        <w:numPr>
          <w:ilvl w:val="2"/>
          <w:numId w:val="3"/>
        </w:numPr>
        <w:snapToGrid w:val="0"/>
        <w:spacing w:after="0" w:line="240" w:lineRule="auto"/>
        <w:jc w:val="both"/>
        <w:rPr>
          <w:color w:val="000000"/>
          <w:sz w:val="20"/>
        </w:rPr>
      </w:pPr>
      <w:r>
        <w:rPr>
          <w:color w:val="000000"/>
          <w:sz w:val="20"/>
          <w:shd w:val="clear" w:color="auto" w:fill="FFFFFF"/>
          <w:lang w:bidi="ar"/>
        </w:rPr>
        <w:t>Single codeword with one RV is used across all spatial layers or layer sets. From the UE perspective, different coded bits are mapped to different layers or layer sets with the same mapping rule as in Rel-15.</w:t>
      </w:r>
    </w:p>
    <w:p>
      <w:pPr>
        <w:pStyle w:val="91"/>
        <w:numPr>
          <w:ilvl w:val="1"/>
          <w:numId w:val="3"/>
        </w:numPr>
        <w:snapToGrid w:val="0"/>
        <w:spacing w:after="0" w:line="240" w:lineRule="auto"/>
        <w:jc w:val="both"/>
        <w:rPr>
          <w:color w:val="000000"/>
          <w:sz w:val="20"/>
        </w:rPr>
      </w:pPr>
      <w:r>
        <w:rPr>
          <w:rStyle w:val="66"/>
          <w:color w:val="000000"/>
          <w:sz w:val="20"/>
          <w:shd w:val="clear" w:color="auto" w:fill="FFFFFF"/>
          <w:lang w:bidi="ar"/>
        </w:rPr>
        <w:t> </w:t>
      </w:r>
      <w:r>
        <w:rPr>
          <w:color w:val="000000"/>
          <w:sz w:val="20"/>
          <w:shd w:val="clear" w:color="auto" w:fill="FFFFFF"/>
          <w:lang w:bidi="ar"/>
        </w:rPr>
        <w:t>Scheme 1b:</w:t>
      </w:r>
    </w:p>
    <w:p>
      <w:pPr>
        <w:pStyle w:val="91"/>
        <w:numPr>
          <w:ilvl w:val="2"/>
          <w:numId w:val="3"/>
        </w:numPr>
        <w:snapToGrid w:val="0"/>
        <w:spacing w:after="0" w:line="240" w:lineRule="auto"/>
        <w:jc w:val="both"/>
        <w:rPr>
          <w:color w:val="000000"/>
          <w:sz w:val="20"/>
          <w:shd w:val="clear" w:color="auto" w:fill="FFFFFF"/>
          <w:lang w:bidi="ar"/>
        </w:rPr>
      </w:pPr>
      <w:r>
        <w:rPr>
          <w:color w:val="000000"/>
          <w:sz w:val="20"/>
          <w:shd w:val="clear" w:color="auto" w:fill="FFFFFF"/>
          <w:lang w:bidi="ar"/>
        </w:rPr>
        <w:t>Each transmission occasion is a layer or a set of layers of the same TB, with each layer or layer set is associated with one TCI and one set of DMRS port(s).</w:t>
      </w:r>
    </w:p>
    <w:p>
      <w:pPr>
        <w:pStyle w:val="91"/>
        <w:numPr>
          <w:ilvl w:val="2"/>
          <w:numId w:val="3"/>
        </w:numPr>
        <w:snapToGrid w:val="0"/>
        <w:spacing w:after="0" w:line="240" w:lineRule="auto"/>
        <w:jc w:val="both"/>
        <w:rPr>
          <w:color w:val="000000"/>
          <w:sz w:val="20"/>
          <w:shd w:val="clear" w:color="auto" w:fill="FFFFFF"/>
          <w:lang w:bidi="ar"/>
        </w:rPr>
      </w:pPr>
      <w:r>
        <w:rPr>
          <w:color w:val="000000"/>
          <w:sz w:val="20"/>
          <w:shd w:val="clear" w:color="auto" w:fill="FFFFFF"/>
          <w:lang w:bidi="ar"/>
        </w:rPr>
        <w:t>Single codeword with one RV is used for each spatial layer or layer set. The RVs corresponding to each spatial layer or layer set can be the same or different.</w:t>
      </w:r>
    </w:p>
    <w:p>
      <w:pPr>
        <w:pStyle w:val="91"/>
        <w:numPr>
          <w:ilvl w:val="2"/>
          <w:numId w:val="3"/>
        </w:numPr>
        <w:snapToGrid w:val="0"/>
        <w:spacing w:after="0" w:line="240" w:lineRule="auto"/>
        <w:jc w:val="both"/>
        <w:rPr>
          <w:color w:val="000000"/>
          <w:sz w:val="20"/>
          <w:shd w:val="clear" w:color="auto" w:fill="FFFFFF"/>
          <w:lang w:bidi="ar"/>
        </w:rPr>
      </w:pPr>
      <w:r>
        <w:rPr>
          <w:color w:val="000000"/>
          <w:sz w:val="20"/>
          <w:shd w:val="clear" w:color="auto" w:fill="FFFFFF"/>
          <w:lang w:bidi="ar"/>
        </w:rPr>
        <w:t>FFS: codeword-to-layer mapping when total number of layers &lt;= 4</w:t>
      </w:r>
    </w:p>
    <w:p>
      <w:pPr>
        <w:pStyle w:val="91"/>
        <w:numPr>
          <w:ilvl w:val="1"/>
          <w:numId w:val="3"/>
        </w:numPr>
        <w:snapToGrid w:val="0"/>
        <w:spacing w:after="0" w:line="240" w:lineRule="auto"/>
        <w:jc w:val="both"/>
        <w:rPr>
          <w:color w:val="000000"/>
          <w:sz w:val="20"/>
          <w:shd w:val="clear" w:color="auto" w:fill="FFFFFF"/>
          <w:lang w:bidi="ar"/>
        </w:rPr>
      </w:pPr>
      <w:r>
        <w:rPr>
          <w:color w:val="000000"/>
          <w:sz w:val="20"/>
          <w:shd w:val="clear" w:color="auto" w:fill="FFFFFF"/>
          <w:lang w:bidi="ar"/>
        </w:rPr>
        <w:t>Scheme 1c:</w:t>
      </w:r>
    </w:p>
    <w:p>
      <w:pPr>
        <w:pStyle w:val="91"/>
        <w:numPr>
          <w:ilvl w:val="2"/>
          <w:numId w:val="3"/>
        </w:numPr>
        <w:snapToGrid w:val="0"/>
        <w:spacing w:after="0" w:line="240" w:lineRule="auto"/>
        <w:jc w:val="both"/>
        <w:rPr>
          <w:color w:val="000000"/>
          <w:sz w:val="20"/>
          <w:shd w:val="clear" w:color="auto" w:fill="FFFFFF"/>
          <w:lang w:bidi="ar"/>
        </w:rPr>
      </w:pPr>
      <w:r>
        <w:rPr>
          <w:color w:val="000000"/>
          <w:sz w:val="20"/>
          <w:shd w:val="clear" w:color="auto" w:fill="FFFFFF"/>
          <w:lang w:bidi="ar"/>
        </w:rPr>
        <w:t>One transmission occasion is one layer of the same TB with one DMRS port associated with multiple TCI state indices, or one layer of the same TB with multiple DMRS ports associated with multiple TCI state indices one by one.</w:t>
      </w:r>
    </w:p>
    <w:p>
      <w:pPr>
        <w:pStyle w:val="91"/>
        <w:numPr>
          <w:ilvl w:val="1"/>
          <w:numId w:val="3"/>
        </w:numPr>
        <w:snapToGrid w:val="0"/>
        <w:spacing w:after="0" w:line="240" w:lineRule="auto"/>
        <w:jc w:val="both"/>
        <w:rPr>
          <w:i/>
          <w:iCs/>
          <w:sz w:val="20"/>
        </w:rPr>
      </w:pPr>
      <w:r>
        <w:rPr>
          <w:i/>
          <w:iCs/>
          <w:sz w:val="20"/>
        </w:rPr>
        <w:t>Applying different MCS/modulation orders for different layers or layer sets can be discussed.</w:t>
      </w:r>
    </w:p>
    <w:p>
      <w:pPr>
        <w:pStyle w:val="91"/>
        <w:numPr>
          <w:ilvl w:val="0"/>
          <w:numId w:val="3"/>
        </w:numPr>
        <w:snapToGrid w:val="0"/>
        <w:spacing w:after="0" w:line="240" w:lineRule="auto"/>
        <w:jc w:val="both"/>
        <w:rPr>
          <w:i/>
          <w:iCs/>
          <w:sz w:val="20"/>
        </w:rPr>
      </w:pPr>
      <w:r>
        <w:rPr>
          <w:i/>
          <w:iCs/>
          <w:sz w:val="20"/>
        </w:rPr>
        <w:t>Scheme 2 (FDM): n (n&lt;=Nf) TCI states within the single slot, with non-overlapped frequency resource allocation </w:t>
      </w:r>
    </w:p>
    <w:p>
      <w:pPr>
        <w:pStyle w:val="91"/>
        <w:numPr>
          <w:ilvl w:val="1"/>
          <w:numId w:val="3"/>
        </w:numPr>
        <w:snapToGrid w:val="0"/>
        <w:spacing w:after="0" w:line="240" w:lineRule="auto"/>
        <w:jc w:val="both"/>
        <w:rPr>
          <w:i/>
          <w:iCs/>
          <w:sz w:val="20"/>
        </w:rPr>
      </w:pPr>
      <w:r>
        <w:rPr>
          <w:i/>
          <w:iCs/>
          <w:sz w:val="20"/>
        </w:rPr>
        <w:t>Each non-overlapped frequency resource allocation is associated with one TCI state.</w:t>
      </w:r>
    </w:p>
    <w:p>
      <w:pPr>
        <w:pStyle w:val="91"/>
        <w:numPr>
          <w:ilvl w:val="1"/>
          <w:numId w:val="3"/>
        </w:numPr>
        <w:snapToGrid w:val="0"/>
        <w:spacing w:after="0" w:line="240" w:lineRule="auto"/>
        <w:jc w:val="both"/>
        <w:rPr>
          <w:i/>
          <w:iCs/>
          <w:sz w:val="20"/>
        </w:rPr>
      </w:pPr>
      <w:r>
        <w:rPr>
          <w:i/>
          <w:iCs/>
          <w:sz w:val="20"/>
        </w:rPr>
        <w:t>Same single/multiple DMRS port(s) are associated with all non-overlapped frequency resource allocations.</w:t>
      </w:r>
    </w:p>
    <w:p>
      <w:pPr>
        <w:pStyle w:val="91"/>
        <w:numPr>
          <w:ilvl w:val="1"/>
          <w:numId w:val="3"/>
        </w:numPr>
        <w:snapToGrid w:val="0"/>
        <w:spacing w:after="0" w:line="240" w:lineRule="auto"/>
        <w:jc w:val="both"/>
        <w:rPr>
          <w:i/>
          <w:iCs/>
          <w:sz w:val="20"/>
        </w:rPr>
      </w:pPr>
      <w:r>
        <w:rPr>
          <w:i/>
          <w:iCs/>
          <w:sz w:val="20"/>
        </w:rPr>
        <w:t>Scheme 2a:</w:t>
      </w:r>
    </w:p>
    <w:p>
      <w:pPr>
        <w:pStyle w:val="91"/>
        <w:numPr>
          <w:ilvl w:val="2"/>
          <w:numId w:val="3"/>
        </w:numPr>
        <w:snapToGrid w:val="0"/>
        <w:spacing w:after="0" w:line="240" w:lineRule="auto"/>
        <w:jc w:val="both"/>
        <w:rPr>
          <w:i/>
          <w:iCs/>
          <w:sz w:val="20"/>
        </w:rPr>
      </w:pPr>
      <w:r>
        <w:rPr>
          <w:i/>
          <w:iCs/>
          <w:sz w:val="20"/>
        </w:rPr>
        <w:t>Single codeword with one RV is used across full resource allocation. From UE perspective, the common RB mapping (codeword to layer mapping as in Rel-15) is applied across full resource allocation.</w:t>
      </w:r>
    </w:p>
    <w:p>
      <w:pPr>
        <w:pStyle w:val="91"/>
        <w:numPr>
          <w:ilvl w:val="1"/>
          <w:numId w:val="3"/>
        </w:numPr>
        <w:snapToGrid w:val="0"/>
        <w:spacing w:after="0" w:line="240" w:lineRule="auto"/>
        <w:jc w:val="both"/>
        <w:rPr>
          <w:i/>
          <w:iCs/>
          <w:sz w:val="20"/>
        </w:rPr>
      </w:pPr>
      <w:r>
        <w:rPr>
          <w:i/>
          <w:iCs/>
          <w:sz w:val="20"/>
        </w:rPr>
        <w:t>Scheme 2b:</w:t>
      </w:r>
    </w:p>
    <w:p>
      <w:pPr>
        <w:pStyle w:val="91"/>
        <w:numPr>
          <w:ilvl w:val="2"/>
          <w:numId w:val="3"/>
        </w:numPr>
        <w:snapToGrid w:val="0"/>
        <w:spacing w:after="0" w:line="240" w:lineRule="auto"/>
        <w:jc w:val="both"/>
        <w:rPr>
          <w:i/>
          <w:iCs/>
          <w:sz w:val="20"/>
        </w:rPr>
      </w:pPr>
      <w:r>
        <w:rPr>
          <w:i/>
          <w:iCs/>
          <w:sz w:val="20"/>
        </w:rPr>
        <w:t>Single codeword with one RV is used for each non-overlapped frequency resource allocation. The RVs corresponding to each non-overlapped frequency resource allocation can be the same or different.</w:t>
      </w:r>
    </w:p>
    <w:p>
      <w:pPr>
        <w:pStyle w:val="91"/>
        <w:numPr>
          <w:ilvl w:val="1"/>
          <w:numId w:val="3"/>
        </w:numPr>
        <w:snapToGrid w:val="0"/>
        <w:spacing w:after="0" w:line="240" w:lineRule="auto"/>
        <w:jc w:val="both"/>
        <w:rPr>
          <w:i/>
          <w:iCs/>
          <w:sz w:val="20"/>
        </w:rPr>
      </w:pPr>
      <w:r>
        <w:rPr>
          <w:i/>
          <w:iCs/>
          <w:sz w:val="20"/>
        </w:rPr>
        <w:t>Applying different MCS/modulation orders for different non-overlapped frequency resource allocations can be discussed.</w:t>
      </w:r>
    </w:p>
    <w:p>
      <w:pPr>
        <w:pStyle w:val="91"/>
        <w:numPr>
          <w:ilvl w:val="1"/>
          <w:numId w:val="3"/>
        </w:numPr>
        <w:snapToGrid w:val="0"/>
        <w:spacing w:after="0" w:line="240" w:lineRule="auto"/>
        <w:jc w:val="both"/>
        <w:rPr>
          <w:i/>
          <w:iCs/>
          <w:sz w:val="20"/>
        </w:rPr>
      </w:pPr>
      <w:r>
        <w:rPr>
          <w:i/>
          <w:iCs/>
          <w:sz w:val="20"/>
        </w:rPr>
        <w:t>Details of frequency resource allocation mechanism for FDM 2a/2b with regarding to allocation granularity, time domain allocation can be discussed.</w:t>
      </w:r>
    </w:p>
    <w:p>
      <w:pPr>
        <w:pStyle w:val="91"/>
        <w:numPr>
          <w:ilvl w:val="0"/>
          <w:numId w:val="3"/>
        </w:numPr>
        <w:snapToGrid w:val="0"/>
        <w:spacing w:after="0" w:line="240" w:lineRule="auto"/>
        <w:jc w:val="both"/>
        <w:rPr>
          <w:i/>
          <w:iCs/>
          <w:sz w:val="20"/>
        </w:rPr>
      </w:pPr>
      <w:r>
        <w:rPr>
          <w:i/>
          <w:iCs/>
          <w:sz w:val="20"/>
        </w:rPr>
        <w:t>Scheme 3 (TDM): n (n&lt;=Nt1) TCI states within the single slot, with non-overlapped time resource allocation</w:t>
      </w:r>
    </w:p>
    <w:p>
      <w:pPr>
        <w:pStyle w:val="91"/>
        <w:numPr>
          <w:ilvl w:val="1"/>
          <w:numId w:val="3"/>
        </w:numPr>
        <w:snapToGrid w:val="0"/>
        <w:spacing w:after="0" w:line="240" w:lineRule="auto"/>
        <w:jc w:val="both"/>
        <w:rPr>
          <w:i/>
          <w:iCs/>
          <w:sz w:val="20"/>
        </w:rPr>
      </w:pPr>
      <w:r>
        <w:rPr>
          <w:i/>
          <w:iCs/>
          <w:sz w:val="20"/>
        </w:rPr>
        <w:t>Each transmission occasion of the TB has one TCI and one RV with the time granularity of mini-slot.</w:t>
      </w:r>
    </w:p>
    <w:p>
      <w:pPr>
        <w:pStyle w:val="91"/>
        <w:numPr>
          <w:ilvl w:val="1"/>
          <w:numId w:val="3"/>
        </w:numPr>
        <w:snapToGrid w:val="0"/>
        <w:spacing w:after="0" w:line="240" w:lineRule="auto"/>
        <w:jc w:val="both"/>
        <w:rPr>
          <w:i/>
          <w:iCs/>
          <w:sz w:val="20"/>
        </w:rPr>
      </w:pPr>
      <w:r>
        <w:rPr>
          <w:i/>
          <w:iCs/>
          <w:sz w:val="20"/>
        </w:rPr>
        <w:t>All transmission occasion (s) within the slot use a common MCS with same single or multiple DMRS port(s). </w:t>
      </w:r>
    </w:p>
    <w:p>
      <w:pPr>
        <w:pStyle w:val="91"/>
        <w:numPr>
          <w:ilvl w:val="1"/>
          <w:numId w:val="3"/>
        </w:numPr>
        <w:snapToGrid w:val="0"/>
        <w:spacing w:after="0" w:line="240" w:lineRule="auto"/>
        <w:jc w:val="both"/>
        <w:rPr>
          <w:i/>
          <w:iCs/>
          <w:sz w:val="20"/>
        </w:rPr>
      </w:pPr>
      <w:r>
        <w:rPr>
          <w:i/>
          <w:iCs/>
          <w:sz w:val="20"/>
        </w:rPr>
        <w:t>RV/TCI state can be same or different among transmission occasions.</w:t>
      </w:r>
    </w:p>
    <w:p>
      <w:pPr>
        <w:pStyle w:val="91"/>
        <w:numPr>
          <w:ilvl w:val="1"/>
          <w:numId w:val="3"/>
        </w:numPr>
        <w:snapToGrid w:val="0"/>
        <w:spacing w:after="0" w:line="240" w:lineRule="auto"/>
        <w:jc w:val="both"/>
        <w:rPr>
          <w:i/>
          <w:iCs/>
          <w:sz w:val="20"/>
        </w:rPr>
      </w:pPr>
      <w:r>
        <w:rPr>
          <w:i/>
          <w:iCs/>
          <w:sz w:val="20"/>
        </w:rPr>
        <w:t>FFS channel estimation interpolation across mini-slots with the same TCI index</w:t>
      </w:r>
    </w:p>
    <w:p>
      <w:pPr>
        <w:pStyle w:val="91"/>
        <w:numPr>
          <w:ilvl w:val="0"/>
          <w:numId w:val="3"/>
        </w:numPr>
        <w:snapToGrid w:val="0"/>
        <w:spacing w:after="0" w:line="240" w:lineRule="auto"/>
        <w:jc w:val="both"/>
        <w:rPr>
          <w:i/>
          <w:iCs/>
          <w:sz w:val="20"/>
        </w:rPr>
      </w:pPr>
      <w:r>
        <w:rPr>
          <w:i/>
          <w:iCs/>
          <w:sz w:val="20"/>
        </w:rPr>
        <w:t>Scheme 4 (TDM): n (n&lt;=Nt2) TCI states with K (n&lt;=K) different slots.</w:t>
      </w:r>
    </w:p>
    <w:p>
      <w:pPr>
        <w:pStyle w:val="91"/>
        <w:numPr>
          <w:ilvl w:val="1"/>
          <w:numId w:val="3"/>
        </w:numPr>
        <w:snapToGrid w:val="0"/>
        <w:spacing w:after="0" w:line="240" w:lineRule="auto"/>
        <w:jc w:val="both"/>
        <w:rPr>
          <w:i/>
          <w:iCs/>
          <w:sz w:val="20"/>
        </w:rPr>
      </w:pPr>
      <w:r>
        <w:rPr>
          <w:i/>
          <w:iCs/>
          <w:sz w:val="20"/>
        </w:rPr>
        <w:t>Each transmission occasion of the TB has one TCI and one RV. </w:t>
      </w:r>
    </w:p>
    <w:p>
      <w:pPr>
        <w:pStyle w:val="91"/>
        <w:numPr>
          <w:ilvl w:val="1"/>
          <w:numId w:val="3"/>
        </w:numPr>
        <w:snapToGrid w:val="0"/>
        <w:spacing w:after="0" w:line="240" w:lineRule="auto"/>
        <w:jc w:val="both"/>
        <w:rPr>
          <w:i/>
          <w:iCs/>
          <w:sz w:val="20"/>
        </w:rPr>
      </w:pPr>
      <w:r>
        <w:rPr>
          <w:i/>
          <w:iCs/>
          <w:sz w:val="20"/>
        </w:rPr>
        <w:t>All transmission occasion (s) across K slots use a common MCS with same single or multiple DMRS port(s)</w:t>
      </w:r>
    </w:p>
    <w:p>
      <w:pPr>
        <w:pStyle w:val="91"/>
        <w:numPr>
          <w:ilvl w:val="1"/>
          <w:numId w:val="3"/>
        </w:numPr>
        <w:snapToGrid w:val="0"/>
        <w:spacing w:after="0" w:line="240" w:lineRule="auto"/>
        <w:jc w:val="both"/>
        <w:rPr>
          <w:i/>
          <w:iCs/>
          <w:sz w:val="20"/>
        </w:rPr>
      </w:pPr>
      <w:r>
        <w:rPr>
          <w:i/>
          <w:iCs/>
          <w:sz w:val="20"/>
        </w:rPr>
        <w:t>RV/TCI state can be same or different among transmission occasions.</w:t>
      </w:r>
    </w:p>
    <w:p>
      <w:pPr>
        <w:pStyle w:val="91"/>
        <w:numPr>
          <w:ilvl w:val="1"/>
          <w:numId w:val="3"/>
        </w:numPr>
        <w:snapToGrid w:val="0"/>
        <w:spacing w:after="0" w:line="240" w:lineRule="auto"/>
        <w:jc w:val="both"/>
        <w:rPr>
          <w:i/>
          <w:iCs/>
          <w:sz w:val="20"/>
        </w:rPr>
      </w:pPr>
      <w:r>
        <w:rPr>
          <w:i/>
          <w:iCs/>
          <w:sz w:val="20"/>
        </w:rPr>
        <w:t>FFS channel estimation interpolation across slots with the same TCI index</w:t>
      </w:r>
    </w:p>
    <w:p>
      <w:pPr>
        <w:pStyle w:val="91"/>
        <w:numPr>
          <w:ilvl w:val="1"/>
          <w:numId w:val="3"/>
        </w:numPr>
        <w:snapToGrid w:val="0"/>
        <w:spacing w:after="0" w:line="240" w:lineRule="auto"/>
        <w:jc w:val="both"/>
        <w:rPr>
          <w:i/>
          <w:iCs/>
          <w:sz w:val="20"/>
        </w:rPr>
      </w:pPr>
      <w:r>
        <w:rPr>
          <w:i/>
          <w:iCs/>
          <w:sz w:val="20"/>
        </w:rPr>
        <w:t>Note that M-TRP/panel based URLLC schemes shall be compared in terms of improved reliability, efficiency, and specification impact.</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i/>
          <w:iCs/>
          <w:sz w:val="20"/>
          <w:szCs w:val="20"/>
        </w:rPr>
        <w:t>Note: Support of number of layers per TRP may be discussed</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this contribution, we provide our views for default QCL assumption with multiple-TRP/panel transmission for both eMBB and URLLC</w:t>
      </w:r>
      <w:r>
        <w:rPr>
          <w:rFonts w:ascii="Times New Roman" w:hAnsi="Times New Roman"/>
          <w:sz w:val="20"/>
          <w:szCs w:val="20"/>
        </w:rPr>
        <w:t xml:space="preserve"> considering both single PDCCH and multiple PDCCH</w:t>
      </w:r>
      <w:r>
        <w:rPr>
          <w:rFonts w:hint="eastAsia" w:ascii="Times New Roman" w:hAnsi="Times New Roman"/>
          <w:sz w:val="20"/>
          <w:szCs w:val="20"/>
        </w:rPr>
        <w:t xml:space="preserve">. We also provide our views </w:t>
      </w:r>
      <w:r>
        <w:rPr>
          <w:rFonts w:ascii="Times New Roman" w:hAnsi="Times New Roman"/>
          <w:sz w:val="20"/>
          <w:szCs w:val="20"/>
        </w:rPr>
        <w:t xml:space="preserve">on beam measurement </w:t>
      </w:r>
      <w:r>
        <w:rPr>
          <w:rFonts w:hint="eastAsia" w:ascii="Times New Roman" w:hAnsi="Times New Roman"/>
          <w:sz w:val="20"/>
          <w:szCs w:val="20"/>
        </w:rPr>
        <w:t xml:space="preserve">BFR </w:t>
      </w:r>
      <w:r>
        <w:rPr>
          <w:rFonts w:ascii="Times New Roman" w:hAnsi="Times New Roman"/>
          <w:sz w:val="20"/>
          <w:szCs w:val="20"/>
        </w:rPr>
        <w:t>for</w:t>
      </w:r>
      <w:r>
        <w:rPr>
          <w:rFonts w:hint="eastAsia" w:ascii="Times New Roman" w:hAnsi="Times New Roman"/>
          <w:sz w:val="20"/>
          <w:szCs w:val="20"/>
        </w:rPr>
        <w:t xml:space="preserve"> multi-TRP/panel transmission</w:t>
      </w:r>
      <w:r>
        <w:rPr>
          <w:rFonts w:ascii="Times New Roman" w:hAnsi="Times New Roman"/>
          <w:sz w:val="20"/>
          <w:szCs w:val="20"/>
        </w:rPr>
        <w:t xml:space="preserve"> and TA for multi-TRP transmission</w:t>
      </w:r>
    </w:p>
    <w:p>
      <w:pPr>
        <w:pStyle w:val="2"/>
        <w:snapToGrid w:val="0"/>
        <w:spacing w:before="180" w:beforeLines="50" w:after="180" w:afterLines="50"/>
        <w:ind w:left="431" w:hanging="431"/>
        <w:rPr>
          <w:lang w:val="en-US"/>
        </w:rPr>
      </w:pPr>
      <w:r>
        <w:rPr>
          <w:sz w:val="28"/>
          <w:lang w:val="en-US"/>
        </w:rPr>
        <w:t>Discussion</w:t>
      </w:r>
    </w:p>
    <w:p>
      <w:pPr>
        <w:pStyle w:val="3"/>
        <w:snapToGrid w:val="0"/>
        <w:spacing w:before="180" w:beforeLines="50" w:after="180" w:afterLines="50" w:line="240" w:lineRule="auto"/>
        <w:jc w:val="both"/>
        <w:rPr>
          <w:rFonts w:ascii="Arial" w:hAnsi="Arial" w:cs="Arial"/>
          <w:sz w:val="21"/>
          <w:szCs w:val="21"/>
          <w:lang w:val="en-US"/>
        </w:rPr>
      </w:pPr>
      <w:r>
        <w:rPr>
          <w:rFonts w:ascii="Arial" w:hAnsi="Arial" w:cs="Arial"/>
          <w:sz w:val="21"/>
          <w:szCs w:val="21"/>
          <w:lang w:val="en-US"/>
        </w:rPr>
        <w:t>For default QCL assumption with multiple-TRP transmission</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In Rel-15 for PDSCH transmission, </w:t>
      </w:r>
      <w:r>
        <w:rPr>
          <w:rFonts w:hint="eastAsia" w:ascii="Times New Roman" w:hAnsi="Times New Roman"/>
          <w:sz w:val="20"/>
          <w:szCs w:val="20"/>
        </w:rPr>
        <w:t>default QCL assumptions are used for the following two</w:t>
      </w:r>
      <w:r>
        <w:rPr>
          <w:rFonts w:hint="eastAsia" w:ascii="Times New Roman" w:hAnsi="Times New Roman" w:eastAsia="宋体"/>
          <w:sz w:val="20"/>
          <w:szCs w:val="20"/>
        </w:rPr>
        <w:t xml:space="preserve"> cases: </w:t>
      </w:r>
    </w:p>
    <w:p>
      <w:pPr>
        <w:snapToGrid w:val="0"/>
        <w:spacing w:before="180" w:beforeLines="50" w:after="180" w:afterLines="50" w:line="240" w:lineRule="auto"/>
        <w:ind w:left="600" w:hanging="600" w:hangingChars="300"/>
        <w:jc w:val="both"/>
        <w:rPr>
          <w:rFonts w:ascii="Times New Roman" w:hAnsi="Times New Roman" w:eastAsia="宋体"/>
          <w:sz w:val="20"/>
          <w:szCs w:val="20"/>
        </w:rPr>
      </w:pPr>
      <w:r>
        <w:rPr>
          <w:rFonts w:hint="eastAsia" w:ascii="Times New Roman" w:hAnsi="Times New Roman" w:eastAsia="宋体"/>
          <w:sz w:val="20"/>
          <w:szCs w:val="20"/>
        </w:rPr>
        <w:t xml:space="preserve">Case 1: When </w:t>
      </w:r>
      <w:r>
        <w:rPr>
          <w:rFonts w:ascii="Times New Roman" w:hAnsi="Times New Roman" w:eastAsia="宋体"/>
          <w:i/>
          <w:iCs/>
          <w:sz w:val="20"/>
          <w:szCs w:val="20"/>
        </w:rPr>
        <w:t>tci-PresentInDCI</w:t>
      </w:r>
      <w:r>
        <w:rPr>
          <w:rFonts w:hint="eastAsia" w:ascii="Times New Roman" w:hAnsi="Times New Roman" w:eastAsia="宋体"/>
          <w:sz w:val="20"/>
          <w:szCs w:val="20"/>
        </w:rPr>
        <w:t xml:space="preserve"> is set to 'enabled' or </w:t>
      </w:r>
      <w:r>
        <w:rPr>
          <w:rFonts w:ascii="Times New Roman" w:hAnsi="Times New Roman" w:eastAsia="宋体"/>
          <w:i/>
          <w:iCs/>
          <w:sz w:val="20"/>
          <w:szCs w:val="20"/>
        </w:rPr>
        <w:t xml:space="preserve">tci-PresentInDCI </w:t>
      </w:r>
      <w:r>
        <w:rPr>
          <w:rFonts w:hint="eastAsia" w:ascii="Times New Roman" w:hAnsi="Times New Roman" w:eastAsia="宋体"/>
          <w:sz w:val="20"/>
          <w:szCs w:val="20"/>
        </w:rPr>
        <w:t xml:space="preserve">is not configured in RRC connected mode, if the offset between the reception of the DL DCI and the corresponding PDSCH is less than the threshold </w:t>
      </w:r>
      <w:r>
        <w:rPr>
          <w:rFonts w:ascii="Times New Roman" w:hAnsi="Times New Roman" w:eastAsia="宋体"/>
          <w:i/>
          <w:iCs/>
          <w:sz w:val="20"/>
          <w:szCs w:val="20"/>
        </w:rPr>
        <w:t>Threshold-Sched-Offset</w:t>
      </w:r>
      <w:r>
        <w:rPr>
          <w:rFonts w:hint="eastAsia" w:ascii="Times New Roman" w:hAnsi="Times New Roman" w:eastAsia="宋体"/>
          <w:sz w:val="20"/>
          <w:szCs w:val="20"/>
        </w:rPr>
        <w:t>, the UE may assume that the DM-RS ports of PDSCH of a serving cell are quasi co-located with the RS(s) in the TCI state with respect to the QCL parameter(s) used for PDCCH quasi co-location indication of the COREST associated with a monitored search space with the lowest CORESET-ID in the latest slot in which one or more CORESETs within the active BWP of the serving cell are monitored by the UE.</w:t>
      </w:r>
    </w:p>
    <w:p>
      <w:pPr>
        <w:snapToGrid w:val="0"/>
        <w:spacing w:before="180" w:beforeLines="50" w:after="180" w:afterLines="50" w:line="240" w:lineRule="auto"/>
        <w:ind w:left="800" w:hanging="800" w:hangingChars="400"/>
        <w:jc w:val="both"/>
        <w:rPr>
          <w:rFonts w:eastAsia="宋体"/>
          <w:color w:val="000000"/>
        </w:rPr>
      </w:pPr>
      <w:r>
        <w:rPr>
          <w:rFonts w:hint="eastAsia" w:ascii="Times New Roman" w:hAnsi="Times New Roman" w:eastAsia="宋体"/>
          <w:sz w:val="20"/>
          <w:szCs w:val="20"/>
        </w:rPr>
        <w:t xml:space="preserve">Case 2: If </w:t>
      </w:r>
      <w:r>
        <w:rPr>
          <w:rFonts w:ascii="Times New Roman" w:hAnsi="Times New Roman" w:eastAsia="宋体"/>
          <w:i/>
          <w:iCs/>
          <w:sz w:val="20"/>
          <w:szCs w:val="20"/>
        </w:rPr>
        <w:t>tci-PresentInDCI</w:t>
      </w:r>
      <w:r>
        <w:rPr>
          <w:rFonts w:hint="eastAsia" w:ascii="Times New Roman" w:hAnsi="Times New Roman" w:eastAsia="宋体"/>
          <w:sz w:val="20"/>
          <w:szCs w:val="20"/>
        </w:rPr>
        <w:t xml:space="preserve"> is not configured for the CORESET scheduling the PDSCH or the PDSCH is scheduled by a DCI format 1_0, and the time offset between the reception of the DL DCI and the corresponding PDSCH is equal to or greater than a threshold </w:t>
      </w:r>
      <w:r>
        <w:rPr>
          <w:rFonts w:ascii="Times New Roman" w:hAnsi="Times New Roman" w:eastAsia="宋体"/>
          <w:i/>
          <w:iCs/>
          <w:sz w:val="20"/>
          <w:szCs w:val="20"/>
        </w:rPr>
        <w:t>Threshold-Sched-Offset</w:t>
      </w:r>
      <w:r>
        <w:rPr>
          <w:rFonts w:hint="eastAsia" w:ascii="Times New Roman" w:hAnsi="Times New Roman" w:eastAsia="宋体"/>
          <w:sz w:val="20"/>
          <w:szCs w:val="20"/>
        </w:rPr>
        <w:t xml:space="preserve">, </w:t>
      </w:r>
      <w:r>
        <w:rPr>
          <w:rFonts w:hint="eastAsia" w:ascii="Times New Roman" w:hAnsi="Times New Roman" w:eastAsia="宋体"/>
          <w:color w:val="000000"/>
          <w:sz w:val="20"/>
          <w:szCs w:val="20"/>
        </w:rPr>
        <w:t>the UE assumes that the TCI state or the QCL assumption for the PDSCH is identical to the TCI state or QCL assumption whichever is applied for the CORESET used for the PDCCH transmission</w:t>
      </w:r>
      <w:r>
        <w:rPr>
          <w:rFonts w:hint="eastAsia" w:ascii="Times New Roman" w:hAnsi="Times New Roman" w:eastAsia="宋体"/>
          <w:sz w:val="20"/>
          <w:szCs w:val="20"/>
        </w:rPr>
        <w:t xml:space="preserve">. </w:t>
      </w:r>
    </w:p>
    <w:p>
      <w:pPr>
        <w:snapToGrid w:val="0"/>
      </w:pPr>
      <w:r>
        <w:rPr>
          <w:rFonts w:ascii="Times New Roman" w:hAnsi="Times New Roman" w:eastAsia="宋体"/>
          <w:sz w:val="20"/>
          <w:szCs w:val="20"/>
        </w:rPr>
        <w:t>If</w:t>
      </w:r>
      <w:r>
        <w:rPr>
          <w:rFonts w:hint="eastAsia" w:ascii="Times New Roman" w:hAnsi="Times New Roman" w:eastAsia="宋体"/>
          <w:sz w:val="20"/>
          <w:szCs w:val="20"/>
        </w:rPr>
        <w:t xml:space="preserve"> only single TRP transmission is supported, one TCI</w:t>
      </w:r>
      <w:r>
        <w:rPr>
          <w:rFonts w:ascii="Times New Roman" w:hAnsi="Times New Roman" w:eastAsia="宋体"/>
          <w:sz w:val="20"/>
          <w:szCs w:val="20"/>
        </w:rPr>
        <w:t xml:space="preserve"> state</w:t>
      </w:r>
      <w:r>
        <w:rPr>
          <w:rFonts w:hint="eastAsia" w:ascii="Times New Roman" w:hAnsi="Times New Roman" w:eastAsia="宋体"/>
          <w:sz w:val="20"/>
          <w:szCs w:val="20"/>
        </w:rPr>
        <w:t xml:space="preserve"> can be used for both PDCCH and PDSCH.. However, multi-TRP/panel transmission is supported in Rel-16 wherein multiple TCI states, DMRS groups, PDCCH and PDSCH will be adopted. Then there may be some issues </w:t>
      </w:r>
      <w:r>
        <w:rPr>
          <w:rFonts w:ascii="Times New Roman" w:hAnsi="Times New Roman" w:eastAsia="宋体"/>
          <w:sz w:val="20"/>
          <w:szCs w:val="20"/>
        </w:rPr>
        <w:t>if we</w:t>
      </w:r>
      <w:r>
        <w:rPr>
          <w:rFonts w:hint="eastAsia" w:ascii="Times New Roman" w:hAnsi="Times New Roman" w:eastAsia="宋体"/>
          <w:sz w:val="20"/>
          <w:szCs w:val="20"/>
        </w:rPr>
        <w:t xml:space="preserve"> completely reuse Rel-15 mechanism. In the following sections, we analyse the potential issues of the default QCL assumptions in the case of multi-TRP/panel transmission for both eMBB and URLLC. </w:t>
      </w:r>
    </w:p>
    <w:p>
      <w:pPr>
        <w:pStyle w:val="4"/>
        <w:snapToGrid w:val="0"/>
        <w:spacing w:before="180" w:beforeLines="50" w:after="180" w:afterLines="50" w:line="240" w:lineRule="auto"/>
        <w:jc w:val="both"/>
        <w:rPr>
          <w:rFonts w:ascii="Arial" w:hAnsi="Arial" w:cs="Arial"/>
          <w:sz w:val="21"/>
          <w:szCs w:val="21"/>
          <w:lang w:val="en-US"/>
        </w:rPr>
      </w:pPr>
      <w:r>
        <w:rPr>
          <w:rFonts w:hint="eastAsia" w:ascii="Arial" w:hAnsi="Arial" w:cs="Arial"/>
          <w:sz w:val="21"/>
          <w:szCs w:val="21"/>
          <w:lang w:val="en-US"/>
        </w:rPr>
        <w:t xml:space="preserve">For single PDCCH design </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For multi-TRP transmission based on single PDCCH design, indicati</w:t>
      </w:r>
      <w:r>
        <w:rPr>
          <w:rFonts w:ascii="Times New Roman" w:hAnsi="Times New Roman" w:eastAsia="宋体"/>
          <w:sz w:val="20"/>
          <w:szCs w:val="20"/>
        </w:rPr>
        <w:t>on</w:t>
      </w:r>
      <w:r>
        <w:rPr>
          <w:rFonts w:hint="eastAsia" w:ascii="Times New Roman" w:hAnsi="Times New Roman" w:eastAsia="宋体"/>
          <w:sz w:val="20"/>
          <w:szCs w:val="20"/>
        </w:rPr>
        <w:t xml:space="preserve"> of two TCI states for one PDSCH has been supported. However, the CORESET (including CORESET with DCI scheduling the PDSCH in above Case 2 and CORESET with lowest CORESET-ID in Case 1) is only transmitted by one TRP, i.e. configured with one active TCI state, which is less than the number of DMRS groups of PDSCH as shown in Figure 1. The QCL assumption of DMRS group 1 can still follow the QCL assumption of the CORESET. However, there is no QCL source for the DMRS group 2 of PDSCH.</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One solution is to allow </w:t>
      </w:r>
      <w:r>
        <w:rPr>
          <w:rFonts w:ascii="Times New Roman" w:hAnsi="Times New Roman" w:eastAsia="宋体"/>
          <w:sz w:val="20"/>
          <w:szCs w:val="20"/>
        </w:rPr>
        <w:t xml:space="preserve">the </w:t>
      </w:r>
      <w:r>
        <w:rPr>
          <w:rFonts w:hint="eastAsia" w:ascii="Times New Roman" w:hAnsi="Times New Roman" w:eastAsia="宋体"/>
          <w:sz w:val="20"/>
          <w:szCs w:val="20"/>
        </w:rPr>
        <w:t>configur</w:t>
      </w:r>
      <w:r>
        <w:rPr>
          <w:rFonts w:ascii="Times New Roman" w:hAnsi="Times New Roman" w:eastAsia="宋体"/>
          <w:sz w:val="20"/>
          <w:szCs w:val="20"/>
        </w:rPr>
        <w:t>ation of</w:t>
      </w:r>
      <w:r>
        <w:rPr>
          <w:rFonts w:hint="eastAsia" w:ascii="Times New Roman" w:hAnsi="Times New Roman" w:eastAsia="宋体"/>
          <w:sz w:val="20"/>
          <w:szCs w:val="20"/>
        </w:rPr>
        <w:t xml:space="preserve"> two TCI states </w:t>
      </w:r>
      <w:r>
        <w:rPr>
          <w:rFonts w:ascii="Times New Roman" w:hAnsi="Times New Roman" w:eastAsia="宋体"/>
          <w:sz w:val="20"/>
          <w:szCs w:val="20"/>
        </w:rPr>
        <w:t>for</w:t>
      </w:r>
      <w:r>
        <w:rPr>
          <w:rFonts w:hint="eastAsia" w:ascii="Times New Roman" w:hAnsi="Times New Roman" w:eastAsia="宋体"/>
          <w:sz w:val="20"/>
          <w:szCs w:val="20"/>
        </w:rPr>
        <w:t xml:space="preserve"> the CORESET. Then the two TCI states are used for the two DMRS groups of PDSCH respectively if the offset between the DL DCI and the PDSCH is less than the threshold, i.e. in Case1 or if tci-PresentInDCI is not configured or the PDSCH is scheduled by a DCI format 1_0 , i.e. in Case 2. Based on this solution, only the first TCI state configured for the CORESET is eventually used for the reception of the DCI since only one DMRS port is supported for PDCCH. In other words, the second TCI state configured for the CORESET not used for the PDCCH reception. </w:t>
      </w:r>
    </w:p>
    <w:p>
      <w:pPr>
        <w:snapToGrid w:val="0"/>
        <w:spacing w:before="180" w:beforeLines="50" w:after="180" w:afterLines="50" w:line="240" w:lineRule="auto"/>
        <w:ind w:left="880" w:hanging="880" w:hangingChars="400"/>
        <w:jc w:val="center"/>
      </w:pPr>
      <w:r>
        <w:object>
          <v:shape id="_x0000_i1025" o:spt="75" type="#_x0000_t75" style="height:140.25pt;width:284.65pt;" o:ole="t" filled="f" o:preferrelative="t" stroked="f" coordsize="21600,21600">
            <v:path/>
            <v:fill on="f" focussize="0,0"/>
            <v:stroke on="f" joinstyle="miter"/>
            <v:imagedata r:id="rId6" o:title=""/>
            <o:lock v:ext="edit" aspectratio="t"/>
            <w10:wrap type="none"/>
            <w10:anchorlock/>
          </v:shape>
          <o:OLEObject Type="Embed" ProgID="Visio.Drawing.11" ShapeID="_x0000_i1025" DrawAspect="Content" ObjectID="_1468075725" r:id="rId5">
            <o:LockedField>false</o:LockedField>
          </o:OLEObject>
        </w:object>
      </w:r>
    </w:p>
    <w:p>
      <w:pPr>
        <w:snapToGrid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Figure1 CORESET with one TRP transmission and the PDSCH with two TRPs transmission</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Another solution is to allow configur</w:t>
      </w:r>
      <w:r>
        <w:rPr>
          <w:rFonts w:ascii="Times New Roman" w:hAnsi="Times New Roman" w:eastAsia="宋体"/>
          <w:sz w:val="20"/>
          <w:szCs w:val="20"/>
        </w:rPr>
        <w:t>ation</w:t>
      </w:r>
      <w:r>
        <w:rPr>
          <w:rFonts w:hint="eastAsia" w:ascii="Times New Roman" w:hAnsi="Times New Roman" w:eastAsia="宋体"/>
          <w:sz w:val="20"/>
          <w:szCs w:val="20"/>
        </w:rPr>
        <w:t xml:space="preserve"> </w:t>
      </w:r>
      <w:r>
        <w:rPr>
          <w:rFonts w:ascii="Times New Roman" w:hAnsi="Times New Roman" w:eastAsia="宋体"/>
          <w:sz w:val="20"/>
          <w:szCs w:val="20"/>
        </w:rPr>
        <w:t xml:space="preserve">of </w:t>
      </w:r>
      <w:r>
        <w:rPr>
          <w:rFonts w:hint="eastAsia" w:ascii="Times New Roman" w:hAnsi="Times New Roman" w:eastAsia="宋体"/>
          <w:sz w:val="20"/>
          <w:szCs w:val="20"/>
        </w:rPr>
        <w:t xml:space="preserve">two TCI states for the reception of the PDCCH while it also will improve the reliability of PDCCH as shown in Figure 2.One DCI in the CORESET are transmitted by two TRPs applying two TCI states and two DMRS groups of PDSCH are also transmitted by the two TRPs. The corresponding relationship between two QCL-RS sets configured for the CORESET and the two DMRS groups of PDSCH should be established. </w:t>
      </w:r>
    </w:p>
    <w:p>
      <w:pPr>
        <w:snapToGrid w:val="0"/>
        <w:spacing w:before="180" w:beforeLines="50" w:after="180" w:afterLines="50" w:line="240" w:lineRule="auto"/>
        <w:jc w:val="center"/>
      </w:pPr>
      <w:r>
        <w:drawing>
          <wp:inline distT="0" distB="0" distL="0" distR="0">
            <wp:extent cx="2590800" cy="1784350"/>
            <wp:effectExtent l="0" t="0" r="0" b="635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2590800" cy="1784350"/>
                    </a:xfrm>
                    <a:prstGeom prst="rect">
                      <a:avLst/>
                    </a:prstGeom>
                    <a:noFill/>
                    <a:ln>
                      <a:noFill/>
                    </a:ln>
                  </pic:spPr>
                </pic:pic>
              </a:graphicData>
            </a:graphic>
          </wp:inline>
        </w:drawing>
      </w:r>
    </w:p>
    <w:p>
      <w:pPr>
        <w:snapToGrid w:val="0"/>
        <w:spacing w:before="180" w:beforeLines="50" w:after="180" w:afterLines="50" w:line="240" w:lineRule="auto"/>
        <w:ind w:firstLine="1400" w:firstLineChars="700"/>
        <w:jc w:val="both"/>
        <w:rPr>
          <w:rFonts w:ascii="Times New Roman" w:hAnsi="Times New Roman" w:eastAsia="宋体"/>
          <w:sz w:val="20"/>
          <w:szCs w:val="20"/>
        </w:rPr>
      </w:pPr>
      <w:r>
        <w:rPr>
          <w:rFonts w:hint="eastAsia" w:ascii="Times New Roman" w:hAnsi="Times New Roman" w:eastAsia="宋体"/>
          <w:sz w:val="20"/>
          <w:szCs w:val="20"/>
        </w:rPr>
        <w:t>Figure 2 Two TCI states for CORESET and PDSCH with two DMRS groups</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However, in the case when one DCI in the CORESET are transmitted by two TRPs, i.e. configured with two TCI states and there is only one DMRS group of PDSCH transmitted by single TRP as shown in Figure 3, it should be clarified which TCI state configured for the CORESET is the default QCL assumption of the PDSCH.</w:t>
      </w:r>
    </w:p>
    <w:p>
      <w:pPr>
        <w:snapToGrid w:val="0"/>
        <w:spacing w:before="180" w:beforeLines="50" w:after="180" w:afterLines="50" w:line="240" w:lineRule="auto"/>
        <w:ind w:left="1205" w:hanging="1205" w:hangingChars="600"/>
        <w:rPr>
          <w:rFonts w:ascii="Times New Roman" w:hAnsi="Times New Roman" w:eastAsia="宋体"/>
          <w:i/>
          <w:iCs/>
          <w:sz w:val="20"/>
          <w:szCs w:val="20"/>
        </w:rPr>
      </w:pPr>
      <w:r>
        <w:rPr>
          <w:rFonts w:hint="eastAsia" w:ascii="Times New Roman" w:hAnsi="Times New Roman" w:eastAsia="宋体"/>
          <w:b/>
          <w:bCs/>
          <w:i/>
          <w:iCs/>
          <w:sz w:val="20"/>
          <w:szCs w:val="20"/>
        </w:rPr>
        <w:t xml:space="preserve">Proposal 1: </w:t>
      </w:r>
      <w:r>
        <w:rPr>
          <w:rFonts w:hint="eastAsia" w:ascii="Times New Roman" w:hAnsi="Times New Roman" w:eastAsia="宋体"/>
          <w:i/>
          <w:iCs/>
          <w:sz w:val="20"/>
          <w:szCs w:val="20"/>
        </w:rPr>
        <w:t xml:space="preserve">The default QCL assumption should be enhanced in the single PDCCH design considering in the case when the number of TCI states for CORESET is mismatched with the number of DMRS port groups of scheduling PDSCH or the number of TCI states of the CORESET is larger than one. </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b/>
          <w:bCs/>
          <w:i/>
          <w:iCs/>
          <w:sz w:val="20"/>
          <w:szCs w:val="20"/>
        </w:rPr>
        <w:t>Proposal 2:</w:t>
      </w:r>
      <w:r>
        <w:rPr>
          <w:rFonts w:hint="eastAsia" w:ascii="Times New Roman" w:hAnsi="Times New Roman" w:eastAsia="宋体"/>
          <w:i/>
          <w:iCs/>
          <w:sz w:val="20"/>
          <w:szCs w:val="20"/>
        </w:rPr>
        <w:t xml:space="preserve"> </w:t>
      </w:r>
      <w:r>
        <w:rPr>
          <w:rFonts w:ascii="Times New Roman" w:hAnsi="Times New Roman" w:eastAsia="宋体"/>
          <w:i/>
          <w:iCs/>
          <w:sz w:val="20"/>
          <w:szCs w:val="20"/>
        </w:rPr>
        <w:t>Support</w:t>
      </w:r>
      <w:r>
        <w:rPr>
          <w:rFonts w:hint="eastAsia" w:ascii="Times New Roman" w:hAnsi="Times New Roman" w:eastAsia="宋体"/>
          <w:i/>
          <w:iCs/>
          <w:sz w:val="20"/>
          <w:szCs w:val="20"/>
        </w:rPr>
        <w:t xml:space="preserve"> configur</w:t>
      </w:r>
      <w:r>
        <w:rPr>
          <w:rFonts w:ascii="Times New Roman" w:hAnsi="Times New Roman" w:eastAsia="宋体"/>
          <w:i/>
          <w:iCs/>
          <w:sz w:val="20"/>
          <w:szCs w:val="20"/>
        </w:rPr>
        <w:t>ation of</w:t>
      </w:r>
      <w:r>
        <w:rPr>
          <w:rFonts w:hint="eastAsia" w:ascii="Times New Roman" w:hAnsi="Times New Roman" w:eastAsia="宋体"/>
          <w:i/>
          <w:iCs/>
          <w:sz w:val="20"/>
          <w:szCs w:val="20"/>
        </w:rPr>
        <w:t xml:space="preserve"> two TCI states for one CORESET</w:t>
      </w:r>
      <w:r>
        <w:rPr>
          <w:rFonts w:ascii="Times New Roman" w:hAnsi="Times New Roman" w:eastAsia="宋体"/>
          <w:i/>
          <w:iCs/>
          <w:sz w:val="20"/>
          <w:szCs w:val="20"/>
        </w:rPr>
        <w:t xml:space="preserve"> to support default QCL assumption for multi-TRP</w:t>
      </w:r>
      <w:r>
        <w:rPr>
          <w:rFonts w:hint="eastAsia" w:ascii="Times New Roman" w:hAnsi="Times New Roman" w:eastAsia="宋体"/>
          <w:i/>
          <w:iCs/>
          <w:sz w:val="20"/>
          <w:szCs w:val="20"/>
        </w:rPr>
        <w:t>.</w:t>
      </w:r>
    </w:p>
    <w:p>
      <w:pPr>
        <w:snapToGrid w:val="0"/>
        <w:spacing w:before="180" w:beforeLines="50" w:after="180" w:afterLines="50" w:line="240" w:lineRule="auto"/>
        <w:jc w:val="center"/>
      </w:pPr>
      <w:r>
        <w:drawing>
          <wp:inline distT="0" distB="0" distL="0" distR="0">
            <wp:extent cx="2870200" cy="17843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870200" cy="1784350"/>
                    </a:xfrm>
                    <a:prstGeom prst="rect">
                      <a:avLst/>
                    </a:prstGeom>
                    <a:noFill/>
                    <a:ln>
                      <a:noFill/>
                    </a:ln>
                  </pic:spPr>
                </pic:pic>
              </a:graphicData>
            </a:graphic>
          </wp:inline>
        </w:drawing>
      </w:r>
      <w:r>
        <w:rPr>
          <w:rFonts w:hint="eastAsia"/>
        </w:rPr>
        <w:t xml:space="preserve">                                                   </w:t>
      </w:r>
      <w:r>
        <w:rPr>
          <w:rFonts w:hint="eastAsia" w:ascii="Times New Roman" w:hAnsi="Times New Roman" w:eastAsia="宋体"/>
          <w:sz w:val="20"/>
          <w:szCs w:val="20"/>
        </w:rPr>
        <w:t xml:space="preserve">  </w:t>
      </w:r>
    </w:p>
    <w:p>
      <w:pPr>
        <w:snapToGrid w:val="0"/>
        <w:spacing w:before="180" w:beforeLines="50" w:after="180" w:afterLines="50" w:line="240" w:lineRule="auto"/>
        <w:ind w:left="792" w:leftChars="360" w:firstLine="800" w:firstLineChars="400"/>
        <w:jc w:val="both"/>
        <w:rPr>
          <w:rFonts w:ascii="Times New Roman" w:hAnsi="Times New Roman" w:eastAsia="宋体"/>
          <w:i/>
          <w:iCs/>
          <w:sz w:val="20"/>
          <w:szCs w:val="20"/>
        </w:rPr>
      </w:pPr>
      <w:r>
        <w:rPr>
          <w:rFonts w:hint="eastAsia" w:ascii="Times New Roman" w:hAnsi="Times New Roman" w:eastAsia="宋体"/>
          <w:sz w:val="20"/>
          <w:szCs w:val="20"/>
        </w:rPr>
        <w:t>Figure3 One DCI with two TCI states and PDSCH with one DMRS group</w:t>
      </w:r>
      <w:r>
        <w:rPr>
          <w:rFonts w:hint="eastAsia" w:ascii="Times New Roman" w:hAnsi="Times New Roman" w:eastAsia="宋体"/>
          <w:i/>
          <w:iCs/>
          <w:sz w:val="20"/>
          <w:szCs w:val="20"/>
        </w:rPr>
        <w:t>.</w:t>
      </w:r>
      <w:r>
        <w:rPr>
          <w:rFonts w:ascii="Times New Roman" w:hAnsi="Times New Roman" w:eastAsia="宋体"/>
          <w:i/>
          <w:iCs/>
          <w:sz w:val="20"/>
          <w:szCs w:val="20"/>
        </w:rPr>
        <w:t xml:space="preserve"> </w:t>
      </w:r>
      <w:r>
        <w:rPr>
          <w:rFonts w:hint="eastAsia" w:ascii="Times New Roman" w:hAnsi="Times New Roman" w:eastAsia="宋体"/>
          <w:i/>
          <w:iCs/>
          <w:sz w:val="20"/>
          <w:szCs w:val="20"/>
        </w:rPr>
        <w:t xml:space="preserve"> </w:t>
      </w:r>
    </w:p>
    <w:p>
      <w:pPr>
        <w:pStyle w:val="4"/>
        <w:snapToGrid w:val="0"/>
        <w:spacing w:before="180" w:beforeLines="50" w:after="180" w:afterLines="50" w:line="240" w:lineRule="auto"/>
        <w:jc w:val="both"/>
        <w:rPr>
          <w:rFonts w:ascii="Arial" w:hAnsi="Arial" w:cs="Arial"/>
          <w:sz w:val="21"/>
          <w:szCs w:val="21"/>
          <w:lang w:val="en-US"/>
        </w:rPr>
      </w:pPr>
      <w:r>
        <w:rPr>
          <w:rFonts w:ascii="Arial" w:hAnsi="Arial" w:cs="Arial"/>
          <w:sz w:val="21"/>
          <w:szCs w:val="21"/>
          <w:lang w:val="en-US"/>
        </w:rPr>
        <w:t>For multiple PDCCHs design</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For multiple PDCCHs design, there is no ideal backhaul between two coordinated TRPs in typical multiple PDCCH design scenario. In this case, two independent PDCCHs are supported and each PDCCH schedules one PDSCH. The following scenario as shown in Figure 4 may have some issues on the default QCL assumption wherein each DCI and corresponding PDSCH are transmitted from the same TRP. This kind of transmission is the typical scenario for the multiple PDCCH design. The QCL assumptions of the first and the second PDSCH can follow the TCI of respective DCI in above Case 2, i.e when </w:t>
      </w:r>
      <w:r>
        <w:rPr>
          <w:rFonts w:ascii="Times New Roman" w:hAnsi="Times New Roman" w:eastAsia="宋体"/>
          <w:i/>
          <w:iCs/>
          <w:sz w:val="20"/>
          <w:szCs w:val="20"/>
        </w:rPr>
        <w:t>tci-PresentInDCI</w:t>
      </w:r>
      <w:r>
        <w:rPr>
          <w:rFonts w:hint="eastAsia" w:ascii="Times New Roman" w:hAnsi="Times New Roman" w:eastAsia="宋体"/>
          <w:sz w:val="20"/>
          <w:szCs w:val="20"/>
        </w:rPr>
        <w:t xml:space="preserve"> is not configured or the PDSCH is scheduled by a DCI format 1_0. However, for the Case 1, i.e. when the offset between the DL DCI and the PDSCH is less than the threshold, only one of the two PDSCHs can take the lowest CORESET ID as the source of the default QCL assumption since the lowest CORESET ID is only transmitted from one TRP. It is obvious that the PDSCH and the CORESET with lowest CORESET-ID should be from the same TRP. Therefore, two CORESET groups should be set and each group is corresponding to one TRP respectively. The QCL assumption of each PDSCH should be inferred from the lowest CORESET-ID within corresponding CORESET group. </w:t>
      </w:r>
    </w:p>
    <w:p>
      <w:pPr>
        <w:snapToGrid w:val="0"/>
        <w:spacing w:before="180" w:beforeLines="50" w:after="180" w:afterLines="50" w:line="240" w:lineRule="auto"/>
        <w:jc w:val="center"/>
      </w:pPr>
      <w:r>
        <w:object>
          <v:shape id="_x0000_i1026" o:spt="75" type="#_x0000_t75" style="height:158.55pt;width:237.25pt;" o:ole="t" filled="f" o:preferrelative="t" stroked="f" coordsize="21600,21600">
            <v:path/>
            <v:fill on="f" focussize="0,0"/>
            <v:stroke on="f" joinstyle="miter"/>
            <v:imagedata r:id="rId10" o:title=""/>
            <o:lock v:ext="edit" aspectratio="t"/>
            <w10:wrap type="none"/>
            <w10:anchorlock/>
          </v:shape>
          <o:OLEObject Type="Embed" ProgID="Visio.Drawing.11" ShapeID="_x0000_i1026" DrawAspect="Content" ObjectID="_1468075726" r:id="rId9">
            <o:LockedField>false</o:LockedField>
          </o:OLEObject>
        </w:object>
      </w:r>
    </w:p>
    <w:p>
      <w:pPr>
        <w:snapToGrid w:val="0"/>
        <w:spacing w:before="180" w:beforeLines="50" w:after="180" w:afterLines="50" w:line="240" w:lineRule="auto"/>
        <w:ind w:firstLine="2600" w:firstLineChars="1300"/>
        <w:jc w:val="both"/>
        <w:rPr>
          <w:rFonts w:ascii="Times New Roman" w:hAnsi="Times New Roman" w:eastAsia="宋体"/>
          <w:sz w:val="20"/>
          <w:szCs w:val="20"/>
        </w:rPr>
      </w:pPr>
      <w:r>
        <w:rPr>
          <w:rFonts w:hint="eastAsia" w:ascii="Times New Roman" w:hAnsi="Times New Roman" w:eastAsia="宋体"/>
          <w:sz w:val="20"/>
          <w:szCs w:val="20"/>
        </w:rPr>
        <w:t>Figure 4 Different DCI transmitted by different TRP</w:t>
      </w:r>
    </w:p>
    <w:p>
      <w:pPr>
        <w:snapToGrid w:val="0"/>
        <w:spacing w:before="180" w:beforeLines="50" w:after="180" w:afterLines="50" w:line="240" w:lineRule="auto"/>
        <w:ind w:left="1004" w:hanging="1004" w:hangingChars="500"/>
        <w:rPr>
          <w:rFonts w:ascii="Times New Roman" w:hAnsi="Times New Roman" w:eastAsia="宋体"/>
          <w:i/>
          <w:iCs/>
          <w:sz w:val="20"/>
          <w:szCs w:val="20"/>
          <w:highlight w:val="yellow"/>
        </w:rPr>
      </w:pPr>
      <w:r>
        <w:rPr>
          <w:rFonts w:hint="eastAsia" w:ascii="Times New Roman" w:hAnsi="Times New Roman" w:eastAsia="宋体"/>
          <w:b/>
          <w:bCs/>
          <w:i/>
          <w:iCs/>
          <w:sz w:val="20"/>
          <w:szCs w:val="20"/>
        </w:rPr>
        <w:t xml:space="preserve">Proposal 3: </w:t>
      </w:r>
      <w:r>
        <w:rPr>
          <w:rFonts w:hint="eastAsia" w:ascii="Times New Roman" w:hAnsi="Times New Roman" w:eastAsia="宋体"/>
          <w:i/>
          <w:iCs/>
          <w:sz w:val="20"/>
          <w:szCs w:val="20"/>
        </w:rPr>
        <w:t>The QCL assumption of each PDSCH should be inferred from the lowest CORESET-ID within the CORESET group when the offset between the DL DCI and the PDSCH is less than the threshold</w:t>
      </w:r>
      <w:r>
        <w:rPr>
          <w:rFonts w:hint="eastAsia" w:ascii="Times New Roman" w:hAnsi="Times New Roman" w:eastAsia="宋体"/>
          <w:sz w:val="20"/>
          <w:szCs w:val="20"/>
        </w:rPr>
        <w:t xml:space="preserve">. </w:t>
      </w:r>
    </w:p>
    <w:p>
      <w:pPr>
        <w:pStyle w:val="4"/>
        <w:snapToGrid w:val="0"/>
        <w:spacing w:line="240" w:lineRule="auto"/>
        <w:rPr>
          <w:rFonts w:ascii="Arial" w:hAnsi="Arial" w:cs="Arial"/>
          <w:sz w:val="21"/>
          <w:szCs w:val="21"/>
          <w:lang w:val="en-US"/>
        </w:rPr>
      </w:pPr>
      <w:r>
        <w:rPr>
          <w:rFonts w:ascii="Arial" w:hAnsi="Arial" w:cs="Arial"/>
          <w:sz w:val="21"/>
          <w:szCs w:val="21"/>
          <w:lang w:val="en-US"/>
        </w:rPr>
        <w:t xml:space="preserve">For URLLC </w:t>
      </w:r>
    </w:p>
    <w:p>
      <w:pPr>
        <w:snapToGrid w:val="0"/>
        <w:rPr>
          <w:rFonts w:ascii="Times New Roman" w:hAnsi="Times New Roman" w:eastAsia="宋体"/>
          <w:sz w:val="20"/>
          <w:szCs w:val="20"/>
        </w:rPr>
      </w:pPr>
      <w:r>
        <w:rPr>
          <w:rFonts w:hint="eastAsia" w:ascii="Times New Roman" w:hAnsi="Times New Roman" w:eastAsia="宋体"/>
          <w:sz w:val="20"/>
          <w:szCs w:val="20"/>
        </w:rPr>
        <w:t xml:space="preserve">As low latency is the main requirement for URLLC traffic, the use case of offset between the DCI and the corresponding PDSCH less than the threshold is very important. Consequently, more attention </w:t>
      </w:r>
      <w:r>
        <w:rPr>
          <w:rFonts w:ascii="Times New Roman" w:hAnsi="Times New Roman" w:eastAsia="宋体"/>
          <w:sz w:val="20"/>
          <w:szCs w:val="20"/>
        </w:rPr>
        <w:t xml:space="preserve">should be paid on </w:t>
      </w:r>
      <w:r>
        <w:rPr>
          <w:rFonts w:hint="eastAsia" w:ascii="Times New Roman" w:hAnsi="Times New Roman" w:eastAsia="宋体"/>
          <w:sz w:val="20"/>
          <w:szCs w:val="20"/>
        </w:rPr>
        <w:t xml:space="preserve">the default QCL assumptions to URLLC traffic. </w:t>
      </w:r>
    </w:p>
    <w:p>
      <w:pPr>
        <w:snapToGrid w:val="0"/>
        <w:rPr>
          <w:rFonts w:ascii="Times New Roman" w:hAnsi="Times New Roman" w:eastAsia="宋体"/>
          <w:sz w:val="20"/>
          <w:szCs w:val="20"/>
        </w:rPr>
      </w:pPr>
      <w:r>
        <w:rPr>
          <w:rFonts w:hint="eastAsia" w:ascii="Times New Roman" w:hAnsi="Times New Roman" w:eastAsia="宋体"/>
          <w:sz w:val="20"/>
          <w:szCs w:val="20"/>
        </w:rPr>
        <w:t xml:space="preserve">In addition, a small scheduling time unit, e.g. 2 symbol scheduling is usually used for URLLC traffic in order to get low latency. To get the higher reliability, scheme 3 described in section 1 should be supported. In other words, repetition is supported among these multiple PDSCHs with the small unit in one slot. The reliability of PDSCH of URLLC can be enhanced using different TCI to those PDSCHs where the TB is repeated across those small scheduling time units as shown in Figure </w:t>
      </w:r>
      <w:r>
        <w:rPr>
          <w:rFonts w:hint="eastAsia" w:ascii="Times New Roman" w:hAnsi="Times New Roman" w:eastAsia="宋体"/>
          <w:sz w:val="20"/>
          <w:szCs w:val="20"/>
          <w:lang w:val="en-US" w:eastAsia="zh-CN"/>
        </w:rPr>
        <w:t>5</w:t>
      </w:r>
      <w:r>
        <w:rPr>
          <w:rFonts w:hint="eastAsia" w:ascii="Times New Roman" w:hAnsi="Times New Roman" w:eastAsia="宋体"/>
          <w:sz w:val="20"/>
          <w:szCs w:val="20"/>
        </w:rPr>
        <w:t>. Based on multiple TCI, beam diversity gain can be achieved and it is very useful in channel blockage scenarios.</w:t>
      </w:r>
    </w:p>
    <w:p>
      <w:pPr>
        <w:snapToGrid w:val="0"/>
        <w:jc w:val="center"/>
      </w:pPr>
      <w:r>
        <w:drawing>
          <wp:inline distT="0" distB="0" distL="114300" distR="114300">
            <wp:extent cx="4653915" cy="2240915"/>
            <wp:effectExtent l="0" t="0" r="13335" b="6985"/>
            <wp:docPr id="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
                    <pic:cNvPicPr>
                      <a:picLocks noChangeAspect="1"/>
                    </pic:cNvPicPr>
                  </pic:nvPicPr>
                  <pic:blipFill>
                    <a:blip r:embed="rId11"/>
                    <a:stretch>
                      <a:fillRect/>
                    </a:stretch>
                  </pic:blipFill>
                  <pic:spPr>
                    <a:xfrm>
                      <a:off x="0" y="0"/>
                      <a:ext cx="4653915" cy="2240915"/>
                    </a:xfrm>
                    <a:prstGeom prst="rect">
                      <a:avLst/>
                    </a:prstGeom>
                    <a:noFill/>
                    <a:ln w="9525">
                      <a:noFill/>
                    </a:ln>
                  </pic:spPr>
                </pic:pic>
              </a:graphicData>
            </a:graphic>
          </wp:inline>
        </w:drawing>
      </w:r>
    </w:p>
    <w:p>
      <w:pPr>
        <w:snapToGrid w:val="0"/>
        <w:jc w:val="center"/>
        <w:rPr>
          <w:rFonts w:ascii="Times New Roman" w:hAnsi="Times New Roman" w:eastAsia="宋体"/>
          <w:sz w:val="20"/>
          <w:szCs w:val="20"/>
        </w:rPr>
      </w:pPr>
      <w:r>
        <w:rPr>
          <w:rFonts w:hint="eastAsia" w:ascii="Times New Roman" w:hAnsi="Times New Roman" w:eastAsia="宋体"/>
          <w:sz w:val="20"/>
          <w:szCs w:val="20"/>
        </w:rPr>
        <w:t xml:space="preserve">Figure </w:t>
      </w:r>
      <w:r>
        <w:rPr>
          <w:rFonts w:hint="eastAsia" w:ascii="Times New Roman" w:hAnsi="Times New Roman" w:eastAsia="宋体"/>
          <w:sz w:val="20"/>
          <w:szCs w:val="20"/>
          <w:lang w:val="en-US" w:eastAsia="zh-CN"/>
        </w:rPr>
        <w:t>5</w:t>
      </w:r>
      <w:r>
        <w:rPr>
          <w:rFonts w:hint="eastAsia" w:ascii="Times New Roman" w:hAnsi="Times New Roman" w:eastAsia="宋体"/>
          <w:sz w:val="20"/>
          <w:szCs w:val="20"/>
        </w:rPr>
        <w:t xml:space="preserve"> Multiple PDSCH repetition with different TCI</w:t>
      </w:r>
    </w:p>
    <w:p>
      <w:pPr>
        <w:snapToGrid w:val="0"/>
        <w:jc w:val="both"/>
        <w:rPr>
          <w:rFonts w:ascii="Times New Roman" w:hAnsi="Times New Roman" w:eastAsia="宋体"/>
          <w:sz w:val="20"/>
          <w:szCs w:val="20"/>
        </w:rPr>
      </w:pPr>
      <w:r>
        <w:rPr>
          <w:rFonts w:hint="eastAsia" w:ascii="Times New Roman" w:hAnsi="Times New Roman" w:eastAsia="宋体"/>
          <w:sz w:val="20"/>
          <w:szCs w:val="20"/>
        </w:rPr>
        <w:t xml:space="preserve">However, when the timing offsets between those DL DCIs and the corresponding PDSCHs are smaller than the threshold, the QCL assumptions of all those PDSCHs should follow the same default QCL assumption of lowest CORESET ID in latest slot, i.e. slot n according to Rel-15 specification as described in above Case 1. In other words, beam diversity gain for URLL traffic cannot be achieved based on the Rel-15 default beam mechanism.    </w:t>
      </w:r>
    </w:p>
    <w:p>
      <w:pPr>
        <w:snapToGrid w:val="0"/>
        <w:jc w:val="both"/>
        <w:rPr>
          <w:rFonts w:ascii="Times New Roman" w:hAnsi="Times New Roman" w:eastAsia="宋体"/>
          <w:sz w:val="20"/>
          <w:szCs w:val="20"/>
        </w:rPr>
      </w:pPr>
      <w:r>
        <w:rPr>
          <w:rFonts w:hint="eastAsia" w:ascii="Times New Roman" w:hAnsi="Times New Roman" w:eastAsia="宋体"/>
          <w:sz w:val="20"/>
          <w:szCs w:val="20"/>
        </w:rPr>
        <w:t xml:space="preserve">The straightforward solution is to allow multiple default QCL assumptions for multiple PDSCHs within one slot. For example, if the offset between the reception of the DL DCI and the corresponding PDSCHs is less than the threshold, the lowest CORESET-ID in the latest small time unit instead of the latest slot is as the QCL reference source. As shown in Figure </w:t>
      </w:r>
      <w:r>
        <w:rPr>
          <w:rFonts w:hint="eastAsia" w:ascii="Times New Roman" w:hAnsi="Times New Roman" w:eastAsia="宋体"/>
          <w:sz w:val="20"/>
          <w:szCs w:val="20"/>
          <w:lang w:val="en-US" w:eastAsia="zh-CN"/>
        </w:rPr>
        <w:t>5</w:t>
      </w:r>
      <w:r>
        <w:rPr>
          <w:rFonts w:hint="eastAsia" w:ascii="Times New Roman" w:hAnsi="Times New Roman" w:eastAsia="宋体"/>
          <w:sz w:val="20"/>
          <w:szCs w:val="20"/>
        </w:rPr>
        <w:t>, the QCL assumption of the PDSCH in blue color should follow the TCI of lowest CORESET ID in latest time unit which is not later than the time unit 0. Likewise, the QCL assumption of the PDSCH in yellow color should follow the TCI of lowest CORESET ID in latest time unit which is not later than the time unit 1. If there are two CORESETs with different TCI in time unit 0 and unit 1, the beam diversity gain can still be achieved.</w:t>
      </w:r>
      <w:r>
        <w:rPr>
          <w:rFonts w:hint="eastAsia"/>
        </w:rPr>
        <w:t xml:space="preserve"> </w:t>
      </w:r>
    </w:p>
    <w:p>
      <w:pPr>
        <w:snapToGrid w:val="0"/>
        <w:ind w:left="1004" w:hanging="1004" w:hangingChars="500"/>
      </w:pPr>
      <w:r>
        <w:rPr>
          <w:rFonts w:hint="eastAsia" w:ascii="Times New Roman" w:hAnsi="Times New Roman" w:eastAsia="宋体"/>
          <w:b/>
          <w:bCs/>
          <w:i/>
          <w:iCs/>
          <w:sz w:val="20"/>
          <w:szCs w:val="20"/>
        </w:rPr>
        <w:t xml:space="preserve">Proposal 4: </w:t>
      </w:r>
      <w:r>
        <w:rPr>
          <w:rFonts w:hint="eastAsia" w:ascii="Times New Roman" w:hAnsi="Times New Roman" w:eastAsia="宋体"/>
          <w:i/>
          <w:iCs/>
          <w:sz w:val="20"/>
          <w:szCs w:val="20"/>
        </w:rPr>
        <w:t xml:space="preserve">For URLLC, allow multiple default QCL assumptions for multiple PDSCHs with repetition within one slot if the timing offset between DL DCI and those multiple PDSCHs is smaller than the threshold. </w:t>
      </w:r>
      <w:r>
        <w:rPr>
          <w:rFonts w:hint="eastAsia"/>
        </w:rPr>
        <w:t xml:space="preserve"> </w:t>
      </w:r>
    </w:p>
    <w:p>
      <w:pPr>
        <w:pStyle w:val="3"/>
        <w:snapToGrid w:val="0"/>
        <w:spacing w:before="180" w:beforeLines="50" w:after="180" w:afterLines="50" w:line="240" w:lineRule="auto"/>
        <w:rPr>
          <w:rFonts w:ascii="Arial" w:hAnsi="Arial" w:cs="Arial"/>
          <w:sz w:val="24"/>
          <w:lang w:val="en-US"/>
        </w:rPr>
      </w:pPr>
      <w:r>
        <w:rPr>
          <w:rFonts w:ascii="Arial" w:hAnsi="Arial" w:cs="Arial"/>
          <w:sz w:val="24"/>
          <w:lang w:val="en-US"/>
        </w:rPr>
        <w:t>Multi-beam measurement in multi-TRP case</w:t>
      </w:r>
    </w:p>
    <w:p>
      <w:pPr>
        <w:overflowPunct w:val="0"/>
        <w:autoSpaceDE w:val="0"/>
        <w:autoSpaceDN w:val="0"/>
        <w:adjustRightInd w:val="0"/>
        <w:spacing w:after="0" w:line="0" w:lineRule="atLeast"/>
        <w:jc w:val="both"/>
        <w:textAlignment w:val="baseline"/>
        <w:rPr>
          <w:rFonts w:ascii="Times New Roman" w:hAnsi="Times New Roman" w:eastAsia="宋体"/>
          <w:sz w:val="20"/>
          <w:szCs w:val="20"/>
        </w:rPr>
      </w:pPr>
      <w:r>
        <w:rPr>
          <w:rFonts w:ascii="Times New Roman" w:hAnsi="Times New Roman" w:eastAsia="宋体"/>
          <w:sz w:val="20"/>
          <w:szCs w:val="20"/>
        </w:rPr>
        <w:t xml:space="preserve">Consideration on constraints of TRP antenna panels should be taken for selecting Tx beam(s) for downlink, like the maximum number of SRS resource sets that can be configured for UL beam management in NR Rel-15. For instance, Tx beams generated from one Tx panel cannot be transmitted simultaneously. Therefore, enhanced signaling or configuration would allow gNB to inform this kind of information of UE for beam reporting. </w:t>
      </w:r>
    </w:p>
    <w:p>
      <w:pPr>
        <w:numPr>
          <w:ilvl w:val="0"/>
          <w:numId w:val="4"/>
        </w:numPr>
        <w:spacing w:after="0" w:line="0" w:lineRule="atLeast"/>
        <w:ind w:hanging="357"/>
        <w:jc w:val="both"/>
        <w:rPr>
          <w:rFonts w:ascii="Times New Roman" w:hAnsi="Times New Roman" w:eastAsia="宋体"/>
          <w:sz w:val="20"/>
          <w:szCs w:val="20"/>
        </w:rPr>
      </w:pPr>
      <w:r>
        <w:rPr>
          <w:rFonts w:ascii="Times New Roman" w:hAnsi="Times New Roman" w:eastAsia="宋体"/>
          <w:sz w:val="20"/>
          <w:szCs w:val="20"/>
        </w:rPr>
        <w:t>For one TRP, there may have more than one TRP antenna group (i.e., multiple Tx panels), but these multiple panels often share the same boresight and similar large-scale channel properties. If beam management is done for each individual panel, the overheads of beam measurement and reporting per each TRP antenna group (i.e, per each Tx panel) is very high and NOT necessary. Therefore, in general, these TRP antenna groups from one same TRP can be virtualized as one group e.g. represented by one resource set, in which no more than N beams can be simultaneously transmitted, where N depends on gNB capability. Furthermore, in multi-TRP case, gNB can configure multiple groups, respectively, each of which is associated with one TRP.</w:t>
      </w:r>
    </w:p>
    <w:p>
      <w:pPr>
        <w:numPr>
          <w:ilvl w:val="0"/>
          <w:numId w:val="4"/>
        </w:numPr>
        <w:spacing w:after="0" w:line="0" w:lineRule="atLeast"/>
        <w:ind w:hanging="357"/>
        <w:jc w:val="both"/>
        <w:rPr>
          <w:rFonts w:ascii="Times New Roman" w:hAnsi="Times New Roman" w:eastAsia="宋体"/>
          <w:sz w:val="20"/>
          <w:szCs w:val="20"/>
        </w:rPr>
      </w:pPr>
      <w:r>
        <w:rPr>
          <w:rFonts w:ascii="Times New Roman" w:hAnsi="Times New Roman" w:eastAsia="宋体"/>
          <w:sz w:val="20"/>
          <w:szCs w:val="20"/>
        </w:rPr>
        <w:t xml:space="preserve">When a UE selects beams for simultaneous receiving in group based beam reporting, the selection rules should follow the constraint that the number of these beams (to be reported for simultaneous receiving) from the same gNB antenna groups can NOT be more than N. </w:t>
      </w:r>
    </w:p>
    <w:p>
      <w:pPr>
        <w:spacing w:before="180" w:beforeLines="50" w:after="120" w:line="240" w:lineRule="auto"/>
        <w:jc w:val="both"/>
        <w:rPr>
          <w:rFonts w:ascii="Times New Roman" w:hAnsi="Times New Roman"/>
          <w:i/>
          <w:sz w:val="20"/>
          <w:szCs w:val="20"/>
        </w:rPr>
      </w:pPr>
      <w:r>
        <w:rPr>
          <w:rFonts w:ascii="Times New Roman" w:hAnsi="Times New Roman" w:eastAsia="宋体"/>
          <w:b/>
          <w:i/>
          <w:sz w:val="20"/>
          <w:szCs w:val="20"/>
        </w:rPr>
        <w:t>Proposal 5:</w:t>
      </w:r>
      <w:r>
        <w:rPr>
          <w:rFonts w:ascii="Times New Roman" w:hAnsi="Times New Roman" w:eastAsia="宋体"/>
          <w:i/>
          <w:sz w:val="20"/>
          <w:szCs w:val="20"/>
        </w:rPr>
        <w:t xml:space="preserve"> Support indication of simultaneous transmission capability from gNB for multi-TRP. </w:t>
      </w:r>
      <w:r>
        <w:rPr>
          <w:rFonts w:ascii="Times New Roman" w:hAnsi="Times New Roman"/>
          <w:i/>
          <w:sz w:val="20"/>
          <w:szCs w:val="20"/>
        </w:rPr>
        <w:t xml:space="preserve"> </w:t>
      </w:r>
    </w:p>
    <w:p>
      <w:pPr>
        <w:pStyle w:val="3"/>
        <w:snapToGrid w:val="0"/>
        <w:spacing w:before="180" w:beforeLines="50" w:after="180" w:afterLines="50" w:line="240" w:lineRule="auto"/>
        <w:rPr>
          <w:rFonts w:ascii="Arial" w:hAnsi="Arial" w:cs="Arial"/>
          <w:sz w:val="24"/>
          <w:lang w:val="en-US"/>
        </w:rPr>
      </w:pPr>
      <w:r>
        <w:rPr>
          <w:rFonts w:hint="eastAsia" w:ascii="Arial" w:hAnsi="Arial" w:cs="Arial"/>
          <w:sz w:val="24"/>
          <w:lang w:val="en-US"/>
        </w:rPr>
        <w:t>Beam failure recovery enhancement for Multi-TRP transmission</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In multiple PDCCH design especially for two TRPs without ideal backhaul,</w:t>
      </w:r>
      <w:r>
        <w:rPr>
          <w:rFonts w:ascii="Times New Roman" w:hAnsi="Times New Roman" w:eastAsia="宋体"/>
          <w:sz w:val="20"/>
          <w:szCs w:val="20"/>
        </w:rPr>
        <w:t xml:space="preserve"> </w:t>
      </w:r>
      <w:r>
        <w:rPr>
          <w:rFonts w:hint="eastAsia" w:ascii="Times New Roman" w:hAnsi="Times New Roman" w:eastAsia="宋体"/>
          <w:sz w:val="20"/>
          <w:szCs w:val="20"/>
        </w:rPr>
        <w:t>separation of configurations such as PDSCH configuration, PDCCH configuration, beam/CSI/ACK measurement and feedback for the two TRPs seems straightforward to be supported. In order to keep good beam connection from UE to both TRPs, two beam failure recovery procedures in one BWP corresponding to two TRPs should be considered especially when there isn</w:t>
      </w:r>
      <w:r>
        <w:rPr>
          <w:rFonts w:ascii="Times New Roman" w:hAnsi="Times New Roman" w:eastAsia="宋体"/>
          <w:sz w:val="20"/>
          <w:szCs w:val="20"/>
        </w:rPr>
        <w:t>’</w:t>
      </w:r>
      <w:r>
        <w:rPr>
          <w:rFonts w:hint="eastAsia" w:ascii="Times New Roman" w:hAnsi="Times New Roman" w:eastAsia="宋体"/>
          <w:sz w:val="20"/>
          <w:szCs w:val="20"/>
        </w:rPr>
        <w:t xml:space="preserve">t ideal backhaul between the two TRPs. </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As shown in Figure </w:t>
      </w:r>
      <w:r>
        <w:rPr>
          <w:rFonts w:hint="eastAsia" w:ascii="Times New Roman" w:hAnsi="Times New Roman" w:eastAsia="宋体"/>
          <w:sz w:val="20"/>
          <w:szCs w:val="20"/>
          <w:lang w:val="en-US" w:eastAsia="zh-CN"/>
        </w:rPr>
        <w:t>6</w:t>
      </w:r>
      <w:r>
        <w:rPr>
          <w:rFonts w:hint="eastAsia" w:ascii="Times New Roman" w:hAnsi="Times New Roman" w:eastAsia="宋体"/>
          <w:sz w:val="20"/>
          <w:szCs w:val="20"/>
        </w:rPr>
        <w:t xml:space="preserve">-a~Figure </w:t>
      </w:r>
      <w:r>
        <w:rPr>
          <w:rFonts w:hint="eastAsia" w:ascii="Times New Roman" w:hAnsi="Times New Roman" w:eastAsia="宋体"/>
          <w:sz w:val="20"/>
          <w:szCs w:val="20"/>
          <w:lang w:val="en-US" w:eastAsia="zh-CN"/>
        </w:rPr>
        <w:t>6</w:t>
      </w:r>
      <w:r>
        <w:rPr>
          <w:rFonts w:hint="eastAsia" w:ascii="Times New Roman" w:hAnsi="Times New Roman" w:eastAsia="宋体"/>
          <w:sz w:val="20"/>
          <w:szCs w:val="20"/>
        </w:rPr>
        <w:t xml:space="preserve">-b, TRP0 is associated with one beam failure recovery procedure with parameters (q0_0, q1_0 and PRACH-BFR_0) and TRP1 is associated with the other beam failure recovery procedure with parameters (q0_1, q1_1 and PRACH-BFR_1). The UE will initiate the beam recovery request as long as either the radio link quality q0_0 or q0_1 is below the threshold. Based on the support of the two independent BFR, beam failure can be recovered quickly for each link and transmission latency can be reduced. And hence, it guarantees two TRPs both always work especially in high frequency bands. </w:t>
      </w:r>
    </w:p>
    <w:p>
      <w:r>
        <w:object>
          <v:shape id="_x0000_i1027" o:spt="75" type="#_x0000_t75" style="height:151.5pt;width:202.25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r>
        <w:rPr>
          <w:rFonts w:hint="eastAsia"/>
        </w:rPr>
        <w:t xml:space="preserve">     </w:t>
      </w:r>
      <w:r>
        <w:object>
          <v:shape id="_x0000_i1028" o:spt="75" type="#_x0000_t75" style="height:151.5pt;width:238.0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jc w:val="center"/>
        <w:rPr>
          <w:rFonts w:ascii="Times New Roman" w:hAnsi="Times New Roman" w:eastAsia="宋体"/>
          <w:sz w:val="20"/>
          <w:szCs w:val="20"/>
        </w:rPr>
      </w:pPr>
      <w:r>
        <w:rPr>
          <w:rFonts w:hint="eastAsia" w:ascii="Times New Roman" w:hAnsi="Times New Roman" w:eastAsia="宋体"/>
          <w:sz w:val="20"/>
          <w:szCs w:val="20"/>
        </w:rPr>
        <w:t xml:space="preserve"> (a) Each PRACH-BFR resources to each TRP   (b) Two PRACH-BFR resources to one TRP</w:t>
      </w:r>
    </w:p>
    <w:p>
      <w:pPr>
        <w:jc w:val="center"/>
        <w:rPr>
          <w:rFonts w:ascii="Times New Roman" w:hAnsi="Times New Roman" w:eastAsia="宋体"/>
          <w:sz w:val="20"/>
          <w:szCs w:val="20"/>
        </w:rPr>
      </w:pPr>
      <w:r>
        <w:rPr>
          <w:rFonts w:hint="eastAsia" w:ascii="Times New Roman" w:hAnsi="Times New Roman" w:eastAsia="宋体"/>
          <w:sz w:val="20"/>
          <w:szCs w:val="20"/>
        </w:rPr>
        <w:t xml:space="preserve">Figure </w:t>
      </w:r>
      <w:r>
        <w:rPr>
          <w:rFonts w:hint="eastAsia" w:ascii="Times New Roman" w:hAnsi="Times New Roman" w:eastAsia="宋体"/>
          <w:sz w:val="20"/>
          <w:szCs w:val="20"/>
          <w:lang w:val="en-US" w:eastAsia="zh-CN"/>
        </w:rPr>
        <w:t>6</w:t>
      </w:r>
      <w:r>
        <w:rPr>
          <w:rFonts w:hint="eastAsia" w:ascii="Times New Roman" w:hAnsi="Times New Roman" w:eastAsia="宋体"/>
          <w:sz w:val="20"/>
          <w:szCs w:val="20"/>
        </w:rPr>
        <w:t xml:space="preserve"> Two BFR procedure</w:t>
      </w:r>
      <w:r>
        <w:rPr>
          <w:rFonts w:ascii="Times New Roman" w:hAnsi="Times New Roman" w:eastAsia="宋体"/>
          <w:sz w:val="20"/>
          <w:szCs w:val="20"/>
        </w:rPr>
        <w:t>s</w:t>
      </w:r>
      <w:r>
        <w:rPr>
          <w:rFonts w:hint="eastAsia" w:ascii="Times New Roman" w:hAnsi="Times New Roman" w:eastAsia="宋体"/>
          <w:sz w:val="20"/>
          <w:szCs w:val="20"/>
        </w:rPr>
        <w:t xml:space="preserve"> for multi-TRP transmission</w:t>
      </w:r>
    </w:p>
    <w:p>
      <w:pPr>
        <w:snapToGrid w:val="0"/>
        <w:spacing w:before="180" w:beforeLines="50" w:after="180" w:afterLines="50" w:line="240" w:lineRule="auto"/>
        <w:ind w:left="1004" w:hanging="1004" w:hangingChars="500"/>
        <w:rPr>
          <w:rFonts w:ascii="Times New Roman" w:hAnsi="Times New Roman" w:eastAsia="宋体"/>
          <w:i/>
          <w:iCs/>
          <w:sz w:val="20"/>
          <w:szCs w:val="20"/>
        </w:rPr>
      </w:pPr>
      <w:r>
        <w:rPr>
          <w:rFonts w:hint="eastAsia" w:ascii="Times New Roman" w:hAnsi="Times New Roman" w:eastAsia="宋体"/>
          <w:b/>
          <w:bCs/>
          <w:i/>
          <w:iCs/>
          <w:sz w:val="20"/>
          <w:szCs w:val="20"/>
        </w:rPr>
        <w:t xml:space="preserve">Proposal </w:t>
      </w:r>
      <w:r>
        <w:rPr>
          <w:rFonts w:ascii="Times New Roman" w:hAnsi="Times New Roman" w:eastAsia="宋体"/>
          <w:b/>
          <w:bCs/>
          <w:i/>
          <w:iCs/>
          <w:sz w:val="20"/>
          <w:szCs w:val="20"/>
        </w:rPr>
        <w:t>6</w:t>
      </w:r>
      <w:r>
        <w:rPr>
          <w:rFonts w:hint="eastAsia" w:ascii="Times New Roman" w:hAnsi="Times New Roman" w:eastAsia="宋体"/>
          <w:b/>
          <w:bCs/>
          <w:i/>
          <w:iCs/>
          <w:sz w:val="20"/>
          <w:szCs w:val="20"/>
        </w:rPr>
        <w:t xml:space="preserve">: </w:t>
      </w:r>
      <w:r>
        <w:rPr>
          <w:rFonts w:hint="eastAsia" w:ascii="Times New Roman" w:hAnsi="Times New Roman" w:eastAsia="宋体"/>
          <w:i/>
          <w:iCs/>
          <w:sz w:val="20"/>
          <w:szCs w:val="20"/>
        </w:rPr>
        <w:t>Two beam failure recovery procedures should be supported and each procedure is associated with one TRP.</w:t>
      </w:r>
    </w:p>
    <w:p>
      <w:pPr>
        <w:pStyle w:val="3"/>
        <w:snapToGrid w:val="0"/>
        <w:spacing w:before="180" w:beforeLines="50" w:after="180" w:afterLines="50" w:line="240" w:lineRule="auto"/>
        <w:rPr>
          <w:rFonts w:ascii="Arial" w:hAnsi="Arial" w:cs="Arial"/>
          <w:sz w:val="24"/>
          <w:lang w:val="en-US"/>
        </w:rPr>
      </w:pPr>
      <w:r>
        <w:rPr>
          <w:rFonts w:hint="eastAsia"/>
          <w:lang w:val="en-US"/>
        </w:rPr>
        <w:t xml:space="preserve"> TA for </w:t>
      </w:r>
      <w:r>
        <w:rPr>
          <w:rFonts w:hint="eastAsia" w:ascii="Arial" w:hAnsi="Arial" w:cs="Arial"/>
          <w:sz w:val="24"/>
          <w:lang w:val="en-US"/>
        </w:rPr>
        <w:t>Multi-TRP transmission</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Since locations of the two coordinated TRPs are different, </w:t>
      </w:r>
      <w:r>
        <w:rPr>
          <w:rFonts w:ascii="Times New Roman" w:hAnsi="Times New Roman" w:eastAsia="宋体"/>
          <w:sz w:val="20"/>
          <w:szCs w:val="20"/>
        </w:rPr>
        <w:t xml:space="preserve">TA </w:t>
      </w:r>
      <w:r>
        <w:rPr>
          <w:rFonts w:hint="eastAsia" w:ascii="Times New Roman" w:hAnsi="Times New Roman" w:eastAsia="宋体"/>
          <w:sz w:val="20"/>
          <w:szCs w:val="20"/>
        </w:rPr>
        <w:t xml:space="preserve">and QCL assumptions </w:t>
      </w:r>
      <w:r>
        <w:rPr>
          <w:rFonts w:ascii="Times New Roman" w:hAnsi="Times New Roman" w:eastAsia="宋体"/>
          <w:sz w:val="20"/>
          <w:szCs w:val="20"/>
        </w:rPr>
        <w:t>corresponding to the two TRPs may be different. The accuracy of TA can be improved if different TA</w:t>
      </w:r>
      <w:r>
        <w:rPr>
          <w:rFonts w:hint="eastAsia" w:ascii="Times New Roman" w:hAnsi="Times New Roman" w:eastAsia="宋体"/>
          <w:sz w:val="20"/>
          <w:szCs w:val="20"/>
        </w:rPr>
        <w:t xml:space="preserve"> configurations</w:t>
      </w:r>
      <w:r>
        <w:rPr>
          <w:rFonts w:ascii="Times New Roman" w:hAnsi="Times New Roman" w:eastAsia="宋体"/>
          <w:sz w:val="20"/>
          <w:szCs w:val="20"/>
        </w:rPr>
        <w:t xml:space="preserve"> </w:t>
      </w:r>
      <w:r>
        <w:rPr>
          <w:rFonts w:hint="eastAsia" w:ascii="Times New Roman" w:hAnsi="Times New Roman" w:eastAsia="宋体"/>
          <w:sz w:val="20"/>
          <w:szCs w:val="20"/>
        </w:rPr>
        <w:t>are supported for</w:t>
      </w:r>
      <w:r>
        <w:rPr>
          <w:rFonts w:ascii="Times New Roman" w:hAnsi="Times New Roman" w:eastAsia="宋体"/>
          <w:sz w:val="20"/>
          <w:szCs w:val="20"/>
        </w:rPr>
        <w:t xml:space="preserve"> different TRP</w:t>
      </w:r>
      <w:r>
        <w:rPr>
          <w:rFonts w:hint="eastAsia" w:ascii="Times New Roman" w:hAnsi="Times New Roman" w:eastAsia="宋体"/>
          <w:sz w:val="20"/>
          <w:szCs w:val="20"/>
        </w:rPr>
        <w:t>s.</w:t>
      </w:r>
      <w:r>
        <w:rPr>
          <w:rFonts w:ascii="Times New Roman" w:hAnsi="Times New Roman" w:eastAsia="宋体"/>
          <w:sz w:val="20"/>
          <w:szCs w:val="20"/>
        </w:rPr>
        <w:t xml:space="preserve"> </w:t>
      </w:r>
      <w:r>
        <w:rPr>
          <w:rFonts w:hint="eastAsia" w:ascii="Times New Roman" w:hAnsi="Times New Roman" w:eastAsia="宋体"/>
          <w:sz w:val="20"/>
          <w:szCs w:val="20"/>
        </w:rPr>
        <w:t>For multi-TRP transmission with multiple PDCCH design</w:t>
      </w:r>
      <w:r>
        <w:rPr>
          <w:rFonts w:ascii="Times New Roman" w:hAnsi="Times New Roman" w:eastAsia="宋体"/>
          <w:sz w:val="20"/>
          <w:szCs w:val="20"/>
        </w:rPr>
        <w:t xml:space="preserve">, </w:t>
      </w:r>
      <w:r>
        <w:rPr>
          <w:rFonts w:hint="eastAsia" w:ascii="Times New Roman" w:hAnsi="Times New Roman" w:eastAsia="宋体"/>
          <w:sz w:val="20"/>
          <w:szCs w:val="20"/>
        </w:rPr>
        <w:t xml:space="preserve">each </w:t>
      </w:r>
      <w:r>
        <w:rPr>
          <w:rFonts w:ascii="Times New Roman" w:hAnsi="Times New Roman" w:eastAsia="宋体"/>
          <w:sz w:val="20"/>
          <w:szCs w:val="20"/>
        </w:rPr>
        <w:t xml:space="preserve">TA should </w:t>
      </w:r>
      <w:r>
        <w:rPr>
          <w:rFonts w:hint="eastAsia" w:ascii="Times New Roman" w:hAnsi="Times New Roman" w:eastAsia="宋体"/>
          <w:sz w:val="20"/>
          <w:szCs w:val="20"/>
        </w:rPr>
        <w:t>refer</w:t>
      </w:r>
      <w:r>
        <w:rPr>
          <w:rFonts w:ascii="Times New Roman" w:hAnsi="Times New Roman" w:eastAsia="宋体"/>
          <w:sz w:val="20"/>
          <w:szCs w:val="20"/>
        </w:rPr>
        <w:t xml:space="preserve"> to the </w:t>
      </w:r>
      <w:r>
        <w:rPr>
          <w:rFonts w:hint="eastAsia" w:ascii="Times New Roman" w:hAnsi="Times New Roman" w:eastAsia="宋体"/>
          <w:sz w:val="20"/>
          <w:szCs w:val="20"/>
        </w:rPr>
        <w:t xml:space="preserve">respective </w:t>
      </w:r>
      <w:r>
        <w:rPr>
          <w:rFonts w:ascii="Times New Roman" w:hAnsi="Times New Roman" w:eastAsia="宋体"/>
          <w:sz w:val="20"/>
          <w:szCs w:val="20"/>
        </w:rPr>
        <w:t xml:space="preserve">TRS/SSB </w:t>
      </w:r>
      <w:r>
        <w:rPr>
          <w:rFonts w:hint="eastAsia" w:ascii="Times New Roman" w:hAnsi="Times New Roman" w:eastAsia="宋体"/>
          <w:sz w:val="20"/>
          <w:szCs w:val="20"/>
        </w:rPr>
        <w:t>from</w:t>
      </w:r>
      <w:r>
        <w:rPr>
          <w:rFonts w:ascii="Times New Roman" w:hAnsi="Times New Roman" w:eastAsia="宋体"/>
          <w:sz w:val="20"/>
          <w:szCs w:val="20"/>
        </w:rPr>
        <w:t xml:space="preserve"> </w:t>
      </w:r>
      <w:r>
        <w:rPr>
          <w:rFonts w:hint="eastAsia" w:ascii="Times New Roman" w:hAnsi="Times New Roman" w:eastAsia="宋体"/>
          <w:sz w:val="20"/>
          <w:szCs w:val="20"/>
        </w:rPr>
        <w:t>the corresponding</w:t>
      </w:r>
      <w:r>
        <w:rPr>
          <w:rFonts w:ascii="Times New Roman" w:hAnsi="Times New Roman" w:eastAsia="宋体"/>
          <w:sz w:val="20"/>
          <w:szCs w:val="20"/>
        </w:rPr>
        <w:t xml:space="preserve"> TRP. </w:t>
      </w:r>
      <w:r>
        <w:rPr>
          <w:rFonts w:hint="eastAsia" w:ascii="Times New Roman" w:hAnsi="Times New Roman" w:eastAsia="宋体"/>
          <w:sz w:val="20"/>
          <w:szCs w:val="20"/>
        </w:rPr>
        <w:t>The UL transmission for one TRP should use the respective TA.</w:t>
      </w:r>
      <w:r>
        <w:rPr>
          <w:rFonts w:ascii="Times New Roman" w:hAnsi="Times New Roman" w:eastAsia="宋体"/>
          <w:sz w:val="20"/>
          <w:szCs w:val="20"/>
        </w:rPr>
        <w:t xml:space="preserve"> </w:t>
      </w:r>
      <w:r>
        <w:rPr>
          <w:rFonts w:hint="eastAsia" w:ascii="Times New Roman" w:hAnsi="Times New Roman" w:eastAsia="宋体"/>
          <w:sz w:val="20"/>
          <w:szCs w:val="20"/>
        </w:rPr>
        <w:t xml:space="preserve">Therefore, the CORESET group should be associated with TRS/SSB for the same TRP. As shown in Figure </w:t>
      </w:r>
      <w:r>
        <w:rPr>
          <w:rFonts w:hint="eastAsia" w:ascii="Times New Roman" w:hAnsi="Times New Roman" w:eastAsia="宋体"/>
          <w:sz w:val="20"/>
          <w:szCs w:val="20"/>
          <w:lang w:val="en-US" w:eastAsia="zh-CN"/>
        </w:rPr>
        <w:t>7</w:t>
      </w:r>
      <w:bookmarkStart w:id="8" w:name="_GoBack"/>
      <w:bookmarkEnd w:id="8"/>
      <w:r>
        <w:rPr>
          <w:rFonts w:hint="eastAsia" w:ascii="Times New Roman" w:hAnsi="Times New Roman" w:eastAsia="宋体"/>
          <w:sz w:val="20"/>
          <w:szCs w:val="20"/>
        </w:rPr>
        <w:t>, the UL signal scheduled by a DCI from a CORESET group should use the TA which is relative to the down link time based on the associated TRS/SSB.</w:t>
      </w:r>
    </w:p>
    <w:p>
      <w:pPr>
        <w:snapToGrid w:val="0"/>
        <w:spacing w:before="180" w:beforeLines="50" w:after="180" w:afterLines="50" w:line="240" w:lineRule="auto"/>
        <w:jc w:val="center"/>
      </w:pPr>
      <w:r>
        <w:object>
          <v:shape id="_x0000_i1029" o:spt="75" type="#_x0000_t75" style="height:116.55pt;width:354.15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jc w:val="center"/>
      </w:pPr>
      <w:r>
        <w:rPr>
          <w:rFonts w:hint="eastAsia" w:ascii="Times New Roman" w:hAnsi="Times New Roman" w:eastAsia="宋体"/>
          <w:sz w:val="20"/>
          <w:szCs w:val="20"/>
        </w:rPr>
        <w:t xml:space="preserve">Figure </w:t>
      </w:r>
      <w:r>
        <w:rPr>
          <w:rFonts w:hint="eastAsia" w:ascii="Times New Roman" w:hAnsi="Times New Roman" w:eastAsia="宋体"/>
          <w:sz w:val="20"/>
          <w:szCs w:val="20"/>
          <w:lang w:val="en-US" w:eastAsia="zh-CN"/>
        </w:rPr>
        <w:t>7</w:t>
      </w:r>
      <w:r>
        <w:rPr>
          <w:rFonts w:hint="eastAsia" w:ascii="Times New Roman" w:hAnsi="Times New Roman" w:eastAsia="宋体"/>
          <w:sz w:val="20"/>
          <w:szCs w:val="20"/>
        </w:rPr>
        <w:t xml:space="preserve">: UL signals to two TRPs with different TAs </w:t>
      </w:r>
    </w:p>
    <w:p>
      <w:pPr>
        <w:snapToGrid w:val="0"/>
        <w:spacing w:before="180" w:beforeLines="50" w:after="180" w:afterLines="50" w:line="240" w:lineRule="auto"/>
        <w:ind w:left="1004" w:hanging="1004" w:hangingChars="500"/>
        <w:rPr>
          <w:rFonts w:ascii="Times New Roman" w:hAnsi="Times New Roman" w:eastAsia="宋体"/>
          <w:i/>
          <w:iCs/>
          <w:sz w:val="20"/>
          <w:szCs w:val="20"/>
        </w:rPr>
      </w:pPr>
      <w:r>
        <w:rPr>
          <w:rFonts w:hint="eastAsia" w:ascii="Times New Roman" w:hAnsi="Times New Roman" w:eastAsia="宋体"/>
          <w:b/>
          <w:bCs/>
          <w:i/>
          <w:iCs/>
          <w:sz w:val="20"/>
          <w:szCs w:val="20"/>
        </w:rPr>
        <w:t xml:space="preserve">Proposal 7: </w:t>
      </w:r>
      <w:r>
        <w:rPr>
          <w:rFonts w:hint="eastAsia" w:ascii="Times New Roman" w:hAnsi="Times New Roman" w:eastAsia="宋体"/>
          <w:i/>
          <w:iCs/>
          <w:sz w:val="20"/>
          <w:szCs w:val="20"/>
        </w:rPr>
        <w:t>Support multiple TAs for UL signals to different TRPs</w:t>
      </w:r>
    </w:p>
    <w:p>
      <w:pPr>
        <w:snapToGrid w:val="0"/>
        <w:spacing w:before="180" w:beforeLines="50" w:after="180" w:afterLines="50" w:line="240" w:lineRule="auto"/>
        <w:ind w:left="1100" w:hanging="1100" w:hangingChars="500"/>
        <w:jc w:val="both"/>
        <w:rPr>
          <w:rFonts w:eastAsia="黑体"/>
        </w:rPr>
      </w:pPr>
    </w:p>
    <w:p>
      <w:pPr>
        <w:pStyle w:val="2"/>
        <w:snapToGrid w:val="0"/>
        <w:spacing w:before="180" w:beforeLines="50" w:after="180" w:afterLines="50"/>
        <w:ind w:left="431" w:hanging="431"/>
        <w:rPr>
          <w:sz w:val="28"/>
          <w:lang w:val="en-US"/>
        </w:rPr>
      </w:pPr>
      <w:r>
        <w:rPr>
          <w:sz w:val="28"/>
          <w:lang w:val="en-US"/>
        </w:rPr>
        <w:t>Conclusions</w:t>
      </w:r>
    </w:p>
    <w:p>
      <w:pPr>
        <w:snapToGrid w:val="0"/>
        <w:spacing w:before="180" w:beforeLines="50" w:after="180" w:afterLines="50" w:line="240" w:lineRule="auto"/>
        <w:jc w:val="both"/>
        <w:rPr>
          <w:rFonts w:ascii="Times New Roman" w:hAnsi="Times New Roman"/>
          <w:sz w:val="20"/>
          <w:szCs w:val="20"/>
          <w:lang w:val="en-GB"/>
        </w:rPr>
      </w:pPr>
      <w:bookmarkStart w:id="6" w:name="OLE_LINK10"/>
      <w:bookmarkStart w:id="7" w:name="OLE_LINK11"/>
      <w:r>
        <w:rPr>
          <w:rFonts w:ascii="Times New Roman" w:hAnsi="Times New Roman"/>
          <w:sz w:val="20"/>
          <w:szCs w:val="20"/>
          <w:lang w:val="en-GB"/>
        </w:rPr>
        <w:t xml:space="preserve">In this contribution, we </w:t>
      </w:r>
      <w:r>
        <w:rPr>
          <w:rFonts w:hint="eastAsia" w:ascii="Times New Roman" w:hAnsi="Times New Roman"/>
          <w:sz w:val="20"/>
          <w:szCs w:val="20"/>
          <w:lang w:val="en-GB"/>
        </w:rPr>
        <w:t>provide</w:t>
      </w:r>
      <w:r>
        <w:rPr>
          <w:rFonts w:ascii="Times New Roman" w:hAnsi="Times New Roman"/>
          <w:sz w:val="20"/>
          <w:szCs w:val="20"/>
          <w:lang w:val="en-GB"/>
        </w:rPr>
        <w:t xml:space="preserve"> </w:t>
      </w:r>
      <w:r>
        <w:rPr>
          <w:rFonts w:hint="eastAsia" w:ascii="Times New Roman" w:hAnsi="Times New Roman"/>
          <w:sz w:val="20"/>
          <w:szCs w:val="20"/>
        </w:rPr>
        <w:t>our views to enhance the default QCL assumption and BFR with multi-TRP/panel transmission</w:t>
      </w:r>
      <w:r>
        <w:rPr>
          <w:rFonts w:hint="eastAsia"/>
          <w:i/>
          <w:iCs/>
        </w:rPr>
        <w:t>.</w:t>
      </w:r>
      <w:r>
        <w:rPr>
          <w:rFonts w:hint="eastAsia" w:ascii="Times New Roman" w:hAnsi="Times New Roman" w:eastAsia="宋体"/>
          <w:i/>
          <w:iCs/>
          <w:sz w:val="20"/>
          <w:szCs w:val="20"/>
        </w:rPr>
        <w:t xml:space="preserve"> </w:t>
      </w:r>
      <w:r>
        <w:rPr>
          <w:rFonts w:ascii="Times New Roman" w:hAnsi="Times New Roman"/>
          <w:sz w:val="20"/>
          <w:szCs w:val="20"/>
          <w:lang w:val="en-GB"/>
        </w:rPr>
        <w:t>There are following observations and proposals.</w:t>
      </w:r>
    </w:p>
    <w:p>
      <w:pPr>
        <w:snapToGrid w:val="0"/>
        <w:spacing w:before="180" w:beforeLines="50" w:after="180" w:afterLines="50" w:line="240" w:lineRule="auto"/>
        <w:ind w:left="1205" w:hanging="1205" w:hangingChars="600"/>
        <w:rPr>
          <w:rFonts w:ascii="Times New Roman" w:hAnsi="Times New Roman" w:eastAsia="宋体"/>
          <w:i/>
          <w:iCs/>
          <w:sz w:val="20"/>
          <w:szCs w:val="20"/>
        </w:rPr>
      </w:pPr>
      <w:r>
        <w:rPr>
          <w:rFonts w:hint="eastAsia" w:ascii="Times New Roman" w:hAnsi="Times New Roman" w:eastAsia="宋体"/>
          <w:b/>
          <w:bCs/>
          <w:i/>
          <w:iCs/>
          <w:sz w:val="20"/>
          <w:szCs w:val="20"/>
        </w:rPr>
        <w:t xml:space="preserve">Proposal 1: </w:t>
      </w:r>
      <w:r>
        <w:rPr>
          <w:rFonts w:hint="eastAsia" w:ascii="Times New Roman" w:hAnsi="Times New Roman" w:eastAsia="宋体"/>
          <w:i/>
          <w:iCs/>
          <w:sz w:val="20"/>
          <w:szCs w:val="20"/>
        </w:rPr>
        <w:t xml:space="preserve">The default QCL </w:t>
      </w:r>
      <w:r>
        <w:rPr>
          <w:rFonts w:ascii="Times New Roman" w:hAnsi="Times New Roman" w:eastAsia="宋体"/>
          <w:i/>
          <w:iCs/>
          <w:sz w:val="20"/>
          <w:szCs w:val="20"/>
        </w:rPr>
        <w:t>assumption</w:t>
      </w:r>
      <w:r>
        <w:rPr>
          <w:rFonts w:hint="eastAsia" w:ascii="Times New Roman" w:hAnsi="Times New Roman" w:eastAsia="宋体"/>
          <w:i/>
          <w:iCs/>
          <w:sz w:val="20"/>
          <w:szCs w:val="20"/>
        </w:rPr>
        <w:t xml:space="preserve"> should be </w:t>
      </w:r>
      <w:r>
        <w:rPr>
          <w:rFonts w:ascii="Times New Roman" w:hAnsi="Times New Roman" w:eastAsia="宋体"/>
          <w:i/>
          <w:iCs/>
          <w:sz w:val="20"/>
          <w:szCs w:val="20"/>
        </w:rPr>
        <w:t>enhanced</w:t>
      </w:r>
      <w:r>
        <w:rPr>
          <w:rFonts w:hint="eastAsia" w:ascii="Times New Roman" w:hAnsi="Times New Roman" w:eastAsia="宋体"/>
          <w:i/>
          <w:iCs/>
          <w:sz w:val="20"/>
          <w:szCs w:val="20"/>
        </w:rPr>
        <w:t xml:space="preserve"> in the single PDCCH design considering in the case when the number of TCI states for CORESET is mismatched with the number of DMRS port groups of scheduling PDSCH or the number of TCI states for CORESET is larger than one. </w:t>
      </w:r>
    </w:p>
    <w:p>
      <w:pPr>
        <w:snapToGrid w:val="0"/>
        <w:spacing w:before="180" w:beforeLines="50" w:after="180" w:afterLines="50" w:line="240" w:lineRule="auto"/>
        <w:rPr>
          <w:rFonts w:ascii="Times New Roman" w:hAnsi="Times New Roman" w:eastAsia="宋体"/>
          <w:i/>
          <w:iCs/>
          <w:sz w:val="20"/>
          <w:szCs w:val="20"/>
        </w:rPr>
      </w:pPr>
      <w:r>
        <w:rPr>
          <w:rFonts w:hint="eastAsia" w:ascii="Times New Roman" w:hAnsi="Times New Roman" w:eastAsia="宋体"/>
          <w:b/>
          <w:bCs/>
          <w:i/>
          <w:iCs/>
          <w:sz w:val="20"/>
          <w:szCs w:val="20"/>
        </w:rPr>
        <w:t>Proposal 2:</w:t>
      </w:r>
      <w:r>
        <w:rPr>
          <w:rFonts w:hint="eastAsia" w:ascii="Times New Roman" w:hAnsi="Times New Roman" w:eastAsia="宋体"/>
          <w:i/>
          <w:iCs/>
          <w:sz w:val="20"/>
          <w:szCs w:val="20"/>
        </w:rPr>
        <w:t xml:space="preserve"> </w:t>
      </w:r>
      <w:r>
        <w:rPr>
          <w:rFonts w:ascii="Times New Roman" w:hAnsi="Times New Roman" w:eastAsia="宋体"/>
          <w:i/>
          <w:iCs/>
          <w:sz w:val="20"/>
          <w:szCs w:val="20"/>
        </w:rPr>
        <w:t>Support</w:t>
      </w:r>
      <w:r>
        <w:rPr>
          <w:rFonts w:hint="eastAsia" w:ascii="Times New Roman" w:hAnsi="Times New Roman" w:eastAsia="宋体"/>
          <w:i/>
          <w:iCs/>
          <w:sz w:val="20"/>
          <w:szCs w:val="20"/>
        </w:rPr>
        <w:t xml:space="preserve"> configur</w:t>
      </w:r>
      <w:r>
        <w:rPr>
          <w:rFonts w:ascii="Times New Roman" w:hAnsi="Times New Roman" w:eastAsia="宋体"/>
          <w:i/>
          <w:iCs/>
          <w:sz w:val="20"/>
          <w:szCs w:val="20"/>
        </w:rPr>
        <w:t>ation of</w:t>
      </w:r>
      <w:r>
        <w:rPr>
          <w:rFonts w:hint="eastAsia" w:ascii="Times New Roman" w:hAnsi="Times New Roman" w:eastAsia="宋体"/>
          <w:i/>
          <w:iCs/>
          <w:sz w:val="20"/>
          <w:szCs w:val="20"/>
        </w:rPr>
        <w:t xml:space="preserve"> two TCI states for one CORESET</w:t>
      </w:r>
      <w:r>
        <w:rPr>
          <w:rFonts w:ascii="Times New Roman" w:hAnsi="Times New Roman" w:eastAsia="宋体"/>
          <w:i/>
          <w:iCs/>
          <w:sz w:val="20"/>
          <w:szCs w:val="20"/>
        </w:rPr>
        <w:t xml:space="preserve"> to support default QCL assumption for multi-TRP</w:t>
      </w:r>
      <w:r>
        <w:rPr>
          <w:rFonts w:hint="eastAsia" w:ascii="Times New Roman" w:hAnsi="Times New Roman" w:eastAsia="宋体"/>
          <w:i/>
          <w:iCs/>
          <w:sz w:val="20"/>
          <w:szCs w:val="20"/>
        </w:rPr>
        <w:t xml:space="preserve">. </w:t>
      </w:r>
    </w:p>
    <w:p>
      <w:pPr>
        <w:snapToGrid w:val="0"/>
        <w:spacing w:before="180" w:beforeLines="50" w:after="180" w:afterLines="50" w:line="240" w:lineRule="auto"/>
        <w:ind w:left="803" w:hanging="803" w:hangingChars="400"/>
        <w:jc w:val="both"/>
        <w:rPr>
          <w:rFonts w:ascii="Times New Roman" w:hAnsi="Times New Roman" w:eastAsia="宋体"/>
          <w:sz w:val="20"/>
          <w:szCs w:val="20"/>
        </w:rPr>
      </w:pPr>
      <w:r>
        <w:rPr>
          <w:rFonts w:hint="eastAsia" w:ascii="Times New Roman" w:hAnsi="Times New Roman" w:eastAsia="宋体"/>
          <w:b/>
          <w:bCs/>
          <w:i/>
          <w:iCs/>
          <w:sz w:val="20"/>
          <w:szCs w:val="20"/>
        </w:rPr>
        <w:t xml:space="preserve">Proposal 3: </w:t>
      </w:r>
      <w:r>
        <w:rPr>
          <w:rFonts w:hint="eastAsia" w:ascii="Times New Roman" w:hAnsi="Times New Roman" w:eastAsia="宋体"/>
          <w:i/>
          <w:iCs/>
          <w:sz w:val="20"/>
          <w:szCs w:val="20"/>
        </w:rPr>
        <w:t>The QCL assumption of each PDSCH should be inferred from the lowest CORESET-ID within the CORESET group when the offset between the DL DCI and the PDSCH is less than the threshold</w:t>
      </w:r>
      <w:r>
        <w:rPr>
          <w:rFonts w:hint="eastAsia" w:ascii="Times New Roman" w:hAnsi="Times New Roman" w:eastAsia="宋体"/>
          <w:sz w:val="20"/>
          <w:szCs w:val="20"/>
        </w:rPr>
        <w:t xml:space="preserve">. </w:t>
      </w:r>
    </w:p>
    <w:p>
      <w:pPr>
        <w:snapToGrid w:val="0"/>
        <w:spacing w:before="180" w:beforeLines="50" w:after="180" w:afterLines="50" w:line="240" w:lineRule="auto"/>
        <w:ind w:left="1004" w:hanging="1004" w:hangingChars="500"/>
        <w:jc w:val="both"/>
        <w:rPr>
          <w:rFonts w:ascii="Times New Roman" w:hAnsi="Times New Roman" w:eastAsia="宋体"/>
          <w:i/>
          <w:iCs/>
          <w:sz w:val="20"/>
          <w:szCs w:val="20"/>
        </w:rPr>
      </w:pPr>
      <w:r>
        <w:rPr>
          <w:rFonts w:hint="eastAsia" w:ascii="Times New Roman" w:hAnsi="Times New Roman" w:eastAsia="宋体"/>
          <w:b/>
          <w:bCs/>
          <w:i/>
          <w:iCs/>
          <w:sz w:val="20"/>
          <w:szCs w:val="20"/>
        </w:rPr>
        <w:t xml:space="preserve">Proposal 4: </w:t>
      </w:r>
      <w:r>
        <w:rPr>
          <w:rFonts w:hint="eastAsia" w:ascii="Times New Roman" w:hAnsi="Times New Roman" w:eastAsia="宋体"/>
          <w:i/>
          <w:iCs/>
          <w:sz w:val="20"/>
          <w:szCs w:val="20"/>
        </w:rPr>
        <w:t xml:space="preserve">For URLLC, allow multiple default QCL assumptions for multiple PDSCHs with repetition within one slot if the timing offset between DL DCI and those multiple PDSCHs is smaller than the threshold. </w:t>
      </w:r>
    </w:p>
    <w:p>
      <w:pPr>
        <w:spacing w:before="180" w:beforeLines="50" w:after="120"/>
        <w:jc w:val="both"/>
        <w:rPr>
          <w:rFonts w:ascii="Times New Roman" w:hAnsi="Times New Roman"/>
          <w:i/>
          <w:sz w:val="20"/>
          <w:szCs w:val="20"/>
        </w:rPr>
      </w:pPr>
      <w:r>
        <w:rPr>
          <w:rFonts w:ascii="Times New Roman" w:hAnsi="Times New Roman" w:eastAsia="宋体"/>
          <w:b/>
          <w:i/>
          <w:sz w:val="20"/>
          <w:szCs w:val="20"/>
        </w:rPr>
        <w:t>Proposal 5:</w:t>
      </w:r>
      <w:r>
        <w:rPr>
          <w:rFonts w:ascii="Times New Roman" w:hAnsi="Times New Roman" w:eastAsia="宋体"/>
          <w:i/>
          <w:sz w:val="20"/>
          <w:szCs w:val="20"/>
        </w:rPr>
        <w:t xml:space="preserve"> Support indication of simultaneous transmission capability from gNB for multi-TRP.</w:t>
      </w:r>
      <w:r>
        <w:rPr>
          <w:rFonts w:ascii="Times New Roman" w:hAnsi="Times New Roman"/>
          <w:i/>
          <w:sz w:val="20"/>
          <w:szCs w:val="20"/>
        </w:rPr>
        <w:t xml:space="preserve"> </w:t>
      </w:r>
    </w:p>
    <w:p>
      <w:pPr>
        <w:snapToGrid w:val="0"/>
        <w:spacing w:before="180" w:beforeLines="50" w:after="180" w:afterLines="50" w:line="240" w:lineRule="auto"/>
        <w:ind w:left="1004" w:hanging="1004" w:hangingChars="500"/>
        <w:rPr>
          <w:rFonts w:ascii="Times New Roman" w:hAnsi="Times New Roman" w:eastAsia="宋体"/>
          <w:i/>
          <w:iCs/>
          <w:sz w:val="20"/>
          <w:szCs w:val="20"/>
        </w:rPr>
      </w:pPr>
      <w:r>
        <w:rPr>
          <w:rFonts w:hint="eastAsia" w:ascii="Times New Roman" w:hAnsi="Times New Roman" w:eastAsia="宋体"/>
          <w:b/>
          <w:bCs/>
          <w:i/>
          <w:iCs/>
          <w:sz w:val="20"/>
          <w:szCs w:val="20"/>
        </w:rPr>
        <w:t xml:space="preserve">Proposal </w:t>
      </w:r>
      <w:r>
        <w:rPr>
          <w:rFonts w:ascii="Times New Roman" w:hAnsi="Times New Roman" w:eastAsia="宋体"/>
          <w:b/>
          <w:bCs/>
          <w:i/>
          <w:iCs/>
          <w:sz w:val="20"/>
          <w:szCs w:val="20"/>
        </w:rPr>
        <w:t>6</w:t>
      </w:r>
      <w:r>
        <w:rPr>
          <w:rFonts w:hint="eastAsia" w:ascii="Times New Roman" w:hAnsi="Times New Roman" w:eastAsia="宋体"/>
          <w:b/>
          <w:bCs/>
          <w:i/>
          <w:iCs/>
          <w:sz w:val="20"/>
          <w:szCs w:val="20"/>
        </w:rPr>
        <w:t xml:space="preserve">: </w:t>
      </w:r>
      <w:r>
        <w:rPr>
          <w:rFonts w:hint="eastAsia" w:ascii="Times New Roman" w:hAnsi="Times New Roman" w:eastAsia="宋体"/>
          <w:i/>
          <w:iCs/>
          <w:sz w:val="20"/>
          <w:szCs w:val="20"/>
        </w:rPr>
        <w:t>Two beam failure recovery procedures should be supported and each procedure is associated with one TRP.</w:t>
      </w:r>
    </w:p>
    <w:p>
      <w:pPr>
        <w:snapToGrid w:val="0"/>
        <w:spacing w:before="180" w:beforeLines="50" w:after="180" w:afterLines="50" w:line="240" w:lineRule="auto"/>
        <w:ind w:left="1004" w:hanging="1004" w:hangingChars="500"/>
        <w:rPr>
          <w:rFonts w:ascii="Times New Roman" w:hAnsi="Times New Roman" w:eastAsia="宋体"/>
          <w:i/>
          <w:iCs/>
          <w:sz w:val="20"/>
          <w:szCs w:val="20"/>
        </w:rPr>
      </w:pPr>
      <w:r>
        <w:rPr>
          <w:rFonts w:hint="eastAsia" w:ascii="Times New Roman" w:hAnsi="Times New Roman" w:eastAsia="宋体"/>
          <w:b/>
          <w:bCs/>
          <w:i/>
          <w:iCs/>
          <w:sz w:val="20"/>
          <w:szCs w:val="20"/>
        </w:rPr>
        <w:t xml:space="preserve">Proposal 7: </w:t>
      </w:r>
      <w:r>
        <w:rPr>
          <w:rFonts w:hint="eastAsia" w:ascii="Times New Roman" w:hAnsi="Times New Roman" w:eastAsia="宋体"/>
          <w:i/>
          <w:iCs/>
          <w:sz w:val="20"/>
          <w:szCs w:val="20"/>
        </w:rPr>
        <w:t>Support multiple TAs for UL signals to different TRPs.</w:t>
      </w:r>
    </w:p>
    <w:p>
      <w:pPr>
        <w:snapToGrid w:val="0"/>
        <w:spacing w:before="180" w:beforeLines="50" w:after="180" w:afterLines="50" w:line="240" w:lineRule="auto"/>
        <w:ind w:left="1000" w:hanging="1000" w:hangingChars="500"/>
        <w:rPr>
          <w:rFonts w:ascii="Times New Roman" w:hAnsi="Times New Roman" w:eastAsia="宋体"/>
          <w:i/>
          <w:iCs/>
          <w:sz w:val="20"/>
          <w:szCs w:val="20"/>
        </w:rPr>
      </w:pPr>
    </w:p>
    <w:p>
      <w:pPr>
        <w:pStyle w:val="2"/>
        <w:snapToGrid w:val="0"/>
        <w:spacing w:before="180" w:beforeLines="50" w:after="180" w:afterLines="50"/>
        <w:ind w:left="431" w:hanging="431"/>
        <w:rPr>
          <w:sz w:val="28"/>
          <w:lang w:val="en-US"/>
        </w:rPr>
      </w:pPr>
      <w:r>
        <w:rPr>
          <w:sz w:val="28"/>
          <w:lang w:val="en-US"/>
        </w:rPr>
        <w:t>References</w:t>
      </w:r>
    </w:p>
    <w:bookmarkEnd w:id="6"/>
    <w:bookmarkEnd w:id="7"/>
    <w:p>
      <w:pPr>
        <w:pStyle w:val="86"/>
        <w:numPr>
          <w:ilvl w:val="0"/>
          <w:numId w:val="5"/>
        </w:numPr>
        <w:snapToGrid w:val="0"/>
        <w:rPr>
          <w:sz w:val="20"/>
          <w:szCs w:val="20"/>
          <w:lang w:val="en-GB"/>
        </w:rPr>
      </w:pPr>
      <w:r>
        <w:rPr>
          <w:rFonts w:hint="eastAsia"/>
          <w:sz w:val="20"/>
          <w:szCs w:val="20"/>
        </w:rPr>
        <w:t>Chairman notes of RAN1#95 meeting</w:t>
      </w:r>
    </w:p>
    <w:p>
      <w:pPr>
        <w:pStyle w:val="86"/>
        <w:numPr>
          <w:ilvl w:val="255"/>
          <w:numId w:val="0"/>
        </w:numPr>
        <w:snapToGrid w:val="0"/>
        <w:rPr>
          <w:sz w:val="20"/>
          <w:szCs w:val="20"/>
          <w:lang w:val="en-GB"/>
        </w:rPr>
      </w:pPr>
    </w:p>
    <w:p>
      <w:pPr>
        <w:snapToGrid w:val="0"/>
        <w:jc w:val="center"/>
        <w:rPr>
          <w:rFonts w:ascii="Times New Roman" w:hAnsi="Times New Roman" w:eastAsia="宋体"/>
          <w:sz w:val="20"/>
          <w:szCs w:val="20"/>
        </w:rPr>
      </w:pPr>
    </w:p>
    <w:p>
      <w:pPr>
        <w:snapToGrid w:val="0"/>
        <w:spacing w:before="180" w:beforeLines="50" w:after="180" w:afterLines="50" w:line="240" w:lineRule="auto"/>
        <w:jc w:val="both"/>
        <w:rPr>
          <w:rFonts w:ascii="Times New Roman" w:hAnsi="Times New Roman"/>
          <w:sz w:val="20"/>
          <w:szCs w:val="20"/>
          <w:lang w:val="en-GB"/>
        </w:rPr>
      </w:pP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Gulim">
    <w:panose1 w:val="020B0600000101010101"/>
    <w:charset w:val="81"/>
    <w:family w:val="roman"/>
    <w:pitch w:val="default"/>
    <w:sig w:usb0="B00002AF" w:usb1="69D77CFB" w:usb2="00000030" w:usb3="00000000" w:csb0="4008009F" w:csb1="DFD70000"/>
  </w:font>
  <w:font w:name="Batang">
    <w:panose1 w:val="02030600000101010101"/>
    <w:charset w:val="81"/>
    <w:family w:val="auto"/>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3"/>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2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93495D"/>
    <w:multiLevelType w:val="singleLevel"/>
    <w:tmpl w:val="DD93495D"/>
    <w:lvl w:ilvl="0" w:tentative="0">
      <w:start w:val="1"/>
      <w:numFmt w:val="decimal"/>
      <w:suff w:val="space"/>
      <w:lvlText w:val="[%1]"/>
      <w:lvlJc w:val="left"/>
    </w:lvl>
  </w:abstractNum>
  <w:abstractNum w:abstractNumId="1">
    <w:nsid w:val="24353F0D"/>
    <w:multiLevelType w:val="multilevel"/>
    <w:tmpl w:val="24353F0D"/>
    <w:lvl w:ilvl="0" w:tentative="0">
      <w:start w:val="3"/>
      <w:numFmt w:val="bullet"/>
      <w:lvlText w:val="-"/>
      <w:lvlJc w:val="left"/>
      <w:pPr>
        <w:ind w:left="760" w:hanging="360"/>
      </w:pPr>
      <w:rPr>
        <w:rFonts w:hint="default" w:ascii="Times New Roman" w:hAnsi="Times New Roman" w:eastAsia="Malgun Gothic" w:cs="Times New Roman"/>
      </w:rPr>
    </w:lvl>
    <w:lvl w:ilvl="1" w:tentative="0">
      <w:start w:val="1"/>
      <w:numFmt w:val="bullet"/>
      <w:lvlText w:val=""/>
      <w:lvlJc w:val="left"/>
      <w:pPr>
        <w:ind w:left="1200" w:hanging="400"/>
      </w:pPr>
      <w:rPr>
        <w:rFonts w:hint="default" w:ascii="Symbol" w:hAnsi="Symbol"/>
      </w:rPr>
    </w:lvl>
    <w:lvl w:ilvl="2" w:tentative="0">
      <w:start w:val="1"/>
      <w:numFmt w:val="bullet"/>
      <w:lvlText w:val="o"/>
      <w:lvlJc w:val="left"/>
      <w:pPr>
        <w:ind w:left="1600" w:hanging="400"/>
      </w:pPr>
      <w:rPr>
        <w:rFonts w:hint="default" w:ascii="Courier New" w:hAnsi="Courier New" w:cs="Courier New"/>
      </w:rPr>
    </w:lvl>
    <w:lvl w:ilvl="3" w:tentative="0">
      <w:start w:val="3"/>
      <w:numFmt w:val="bullet"/>
      <w:lvlText w:val="-"/>
      <w:lvlJc w:val="left"/>
      <w:pPr>
        <w:ind w:left="2000" w:hanging="400"/>
      </w:pPr>
      <w:rPr>
        <w:rFonts w:hint="default" w:ascii="Times New Roman" w:hAnsi="Times New Roman" w:eastAsia="Malgun Gothic" w:cs="Times New Roman"/>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2">
    <w:nsid w:val="3902507F"/>
    <w:multiLevelType w:val="multilevel"/>
    <w:tmpl w:val="3902507F"/>
    <w:lvl w:ilvl="0" w:tentative="0">
      <w:start w:val="0"/>
      <w:numFmt w:val="bullet"/>
      <w:lvlText w:val="-"/>
      <w:lvlJc w:val="left"/>
      <w:pPr>
        <w:ind w:left="720" w:hanging="360"/>
      </w:pPr>
      <w:rPr>
        <w:rFonts w:hint="default" w:ascii="Times New Roman" w:hAnsi="Times New Roman" w:eastAsia="Batang"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58835324"/>
    <w:multiLevelType w:val="multilevel"/>
    <w:tmpl w:val="5883532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BA076D4"/>
    <w:multiLevelType w:val="multilevel"/>
    <w:tmpl w:val="5BA076D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1001"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documentProtection w:enforcement="0"/>
  <w:defaultTabStop w:val="720"/>
  <w:hyphenationZone w:val="425"/>
  <w:drawingGridHorizontalSpacing w:val="110"/>
  <w:noPunctuationKerning w:val="1"/>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ECE"/>
    <w:rsid w:val="000011D1"/>
    <w:rsid w:val="000012C7"/>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0B8"/>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5D8"/>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115"/>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7FE"/>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0B"/>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17"/>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481"/>
    <w:rsid w:val="00155887"/>
    <w:rsid w:val="00155968"/>
    <w:rsid w:val="00155ACC"/>
    <w:rsid w:val="001562CD"/>
    <w:rsid w:val="0015646F"/>
    <w:rsid w:val="00156607"/>
    <w:rsid w:val="00156A5E"/>
    <w:rsid w:val="00156B0C"/>
    <w:rsid w:val="00156DF4"/>
    <w:rsid w:val="00156E2C"/>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00F"/>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CE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685"/>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142"/>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CBF"/>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71A"/>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4D7E"/>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397"/>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9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595"/>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596"/>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2FC9"/>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3E0"/>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AD2"/>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675"/>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4D0"/>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155"/>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9E3"/>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ABB"/>
    <w:rsid w:val="009D2F12"/>
    <w:rsid w:val="009D2F36"/>
    <w:rsid w:val="009D3236"/>
    <w:rsid w:val="009D32A2"/>
    <w:rsid w:val="009D3FE5"/>
    <w:rsid w:val="009D40B6"/>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BFB"/>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C3A"/>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6CD"/>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1F"/>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087"/>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17A"/>
    <w:rsid w:val="00B27257"/>
    <w:rsid w:val="00B2784A"/>
    <w:rsid w:val="00B278C0"/>
    <w:rsid w:val="00B27A75"/>
    <w:rsid w:val="00B27C3F"/>
    <w:rsid w:val="00B27ED1"/>
    <w:rsid w:val="00B27FBA"/>
    <w:rsid w:val="00B30414"/>
    <w:rsid w:val="00B30DFD"/>
    <w:rsid w:val="00B30E90"/>
    <w:rsid w:val="00B30EAE"/>
    <w:rsid w:val="00B30EFE"/>
    <w:rsid w:val="00B313E6"/>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36D"/>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5C61"/>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5EA"/>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A37"/>
    <w:rsid w:val="00BD5CA4"/>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ED6"/>
    <w:rsid w:val="00BF3F97"/>
    <w:rsid w:val="00BF4066"/>
    <w:rsid w:val="00BF431A"/>
    <w:rsid w:val="00BF4479"/>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A11"/>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780"/>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9B8"/>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CEE"/>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74F"/>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5F75"/>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1"/>
    <w:rsid w:val="00F248FC"/>
    <w:rsid w:val="00F24904"/>
    <w:rsid w:val="00F249C5"/>
    <w:rsid w:val="00F24C76"/>
    <w:rsid w:val="00F25257"/>
    <w:rsid w:val="00F252C1"/>
    <w:rsid w:val="00F259BF"/>
    <w:rsid w:val="00F25B75"/>
    <w:rsid w:val="00F261C3"/>
    <w:rsid w:val="00F262CB"/>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5E9B"/>
    <w:rsid w:val="00FF62A7"/>
    <w:rsid w:val="00FF6784"/>
    <w:rsid w:val="00FF678F"/>
    <w:rsid w:val="00FF6E3C"/>
    <w:rsid w:val="00FF721C"/>
    <w:rsid w:val="00FF7362"/>
    <w:rsid w:val="00FF782D"/>
    <w:rsid w:val="00FF7893"/>
    <w:rsid w:val="00FF7A30"/>
    <w:rsid w:val="00FF7BA1"/>
    <w:rsid w:val="00FF7CEE"/>
    <w:rsid w:val="00FF7D22"/>
    <w:rsid w:val="01041CD0"/>
    <w:rsid w:val="010D1BDD"/>
    <w:rsid w:val="01115C89"/>
    <w:rsid w:val="01222B27"/>
    <w:rsid w:val="01237DE4"/>
    <w:rsid w:val="012B76D9"/>
    <w:rsid w:val="012E3D59"/>
    <w:rsid w:val="012E78A0"/>
    <w:rsid w:val="0132297F"/>
    <w:rsid w:val="013340AD"/>
    <w:rsid w:val="01384A19"/>
    <w:rsid w:val="013C501C"/>
    <w:rsid w:val="013D4FA6"/>
    <w:rsid w:val="01465BCB"/>
    <w:rsid w:val="014F6547"/>
    <w:rsid w:val="015602B3"/>
    <w:rsid w:val="01592BEE"/>
    <w:rsid w:val="015B413C"/>
    <w:rsid w:val="01657634"/>
    <w:rsid w:val="0168153A"/>
    <w:rsid w:val="01697CD6"/>
    <w:rsid w:val="016B6DD7"/>
    <w:rsid w:val="016C64DB"/>
    <w:rsid w:val="01701670"/>
    <w:rsid w:val="0171562A"/>
    <w:rsid w:val="01742CDF"/>
    <w:rsid w:val="017729EB"/>
    <w:rsid w:val="01795231"/>
    <w:rsid w:val="017B5EC6"/>
    <w:rsid w:val="018446AC"/>
    <w:rsid w:val="01900C09"/>
    <w:rsid w:val="01951257"/>
    <w:rsid w:val="0196778C"/>
    <w:rsid w:val="019B60BC"/>
    <w:rsid w:val="019D62DE"/>
    <w:rsid w:val="01A761C0"/>
    <w:rsid w:val="01A96AA0"/>
    <w:rsid w:val="01AA0986"/>
    <w:rsid w:val="01B91B37"/>
    <w:rsid w:val="01C96560"/>
    <w:rsid w:val="01C97249"/>
    <w:rsid w:val="01D55471"/>
    <w:rsid w:val="01D775BA"/>
    <w:rsid w:val="01D91D17"/>
    <w:rsid w:val="01DF6E38"/>
    <w:rsid w:val="01E31EAE"/>
    <w:rsid w:val="01E46767"/>
    <w:rsid w:val="01E7337E"/>
    <w:rsid w:val="01ED0BA3"/>
    <w:rsid w:val="01F204FF"/>
    <w:rsid w:val="01F91369"/>
    <w:rsid w:val="01FD0A52"/>
    <w:rsid w:val="02070D9C"/>
    <w:rsid w:val="020A55DB"/>
    <w:rsid w:val="020A7FD5"/>
    <w:rsid w:val="020B3BFF"/>
    <w:rsid w:val="021A2B4F"/>
    <w:rsid w:val="021F2A81"/>
    <w:rsid w:val="021F5861"/>
    <w:rsid w:val="0224389C"/>
    <w:rsid w:val="0226507C"/>
    <w:rsid w:val="02265948"/>
    <w:rsid w:val="02265E7F"/>
    <w:rsid w:val="02287677"/>
    <w:rsid w:val="022C66E1"/>
    <w:rsid w:val="022E1C38"/>
    <w:rsid w:val="022E53C2"/>
    <w:rsid w:val="023243E6"/>
    <w:rsid w:val="023A12BC"/>
    <w:rsid w:val="023A7E40"/>
    <w:rsid w:val="023B1EEB"/>
    <w:rsid w:val="023D69A0"/>
    <w:rsid w:val="023F46B5"/>
    <w:rsid w:val="02410A4C"/>
    <w:rsid w:val="024518A8"/>
    <w:rsid w:val="024D3362"/>
    <w:rsid w:val="02525FDE"/>
    <w:rsid w:val="0258068C"/>
    <w:rsid w:val="0266047F"/>
    <w:rsid w:val="026B4AEA"/>
    <w:rsid w:val="026F3AA2"/>
    <w:rsid w:val="02746FAE"/>
    <w:rsid w:val="027B658C"/>
    <w:rsid w:val="027E61C3"/>
    <w:rsid w:val="02816D9C"/>
    <w:rsid w:val="02831C33"/>
    <w:rsid w:val="02875AD4"/>
    <w:rsid w:val="028E5CAB"/>
    <w:rsid w:val="028F4EA5"/>
    <w:rsid w:val="02A91846"/>
    <w:rsid w:val="02AA0975"/>
    <w:rsid w:val="02B13762"/>
    <w:rsid w:val="02B2472A"/>
    <w:rsid w:val="02BA5B1F"/>
    <w:rsid w:val="02BF6AE2"/>
    <w:rsid w:val="02C81E79"/>
    <w:rsid w:val="02D0642C"/>
    <w:rsid w:val="02D127EF"/>
    <w:rsid w:val="02D47EB6"/>
    <w:rsid w:val="02E14FCB"/>
    <w:rsid w:val="02E5740B"/>
    <w:rsid w:val="02EF5A5A"/>
    <w:rsid w:val="02F16096"/>
    <w:rsid w:val="02F17425"/>
    <w:rsid w:val="02F33215"/>
    <w:rsid w:val="02FE7D30"/>
    <w:rsid w:val="0307267F"/>
    <w:rsid w:val="030D3E9D"/>
    <w:rsid w:val="030D51A2"/>
    <w:rsid w:val="030E51E7"/>
    <w:rsid w:val="031A545F"/>
    <w:rsid w:val="031F008D"/>
    <w:rsid w:val="032A509F"/>
    <w:rsid w:val="03334938"/>
    <w:rsid w:val="0333596C"/>
    <w:rsid w:val="033912FE"/>
    <w:rsid w:val="03394321"/>
    <w:rsid w:val="03406AD4"/>
    <w:rsid w:val="0346496D"/>
    <w:rsid w:val="034938C7"/>
    <w:rsid w:val="034E4F0F"/>
    <w:rsid w:val="034F290D"/>
    <w:rsid w:val="03513AB2"/>
    <w:rsid w:val="035279F8"/>
    <w:rsid w:val="035A6727"/>
    <w:rsid w:val="035F2C63"/>
    <w:rsid w:val="0360437B"/>
    <w:rsid w:val="036C07D2"/>
    <w:rsid w:val="03773E72"/>
    <w:rsid w:val="03826E5C"/>
    <w:rsid w:val="03892991"/>
    <w:rsid w:val="03895569"/>
    <w:rsid w:val="038C02EB"/>
    <w:rsid w:val="038E2E18"/>
    <w:rsid w:val="038F1DC9"/>
    <w:rsid w:val="039545AE"/>
    <w:rsid w:val="03995C8A"/>
    <w:rsid w:val="03AD0569"/>
    <w:rsid w:val="03B640CE"/>
    <w:rsid w:val="03BA4249"/>
    <w:rsid w:val="03C517BD"/>
    <w:rsid w:val="03C5452E"/>
    <w:rsid w:val="03C74561"/>
    <w:rsid w:val="03CC6F19"/>
    <w:rsid w:val="03CE5373"/>
    <w:rsid w:val="03D11A1D"/>
    <w:rsid w:val="03D17B55"/>
    <w:rsid w:val="03D61EA0"/>
    <w:rsid w:val="03E54BD6"/>
    <w:rsid w:val="03E82126"/>
    <w:rsid w:val="03EC2CBE"/>
    <w:rsid w:val="040562E0"/>
    <w:rsid w:val="040B23D6"/>
    <w:rsid w:val="041203F0"/>
    <w:rsid w:val="04132C1A"/>
    <w:rsid w:val="04181433"/>
    <w:rsid w:val="041A619B"/>
    <w:rsid w:val="04272B17"/>
    <w:rsid w:val="04291C59"/>
    <w:rsid w:val="042A2F90"/>
    <w:rsid w:val="042A3EB0"/>
    <w:rsid w:val="04317277"/>
    <w:rsid w:val="043675C3"/>
    <w:rsid w:val="04377E4A"/>
    <w:rsid w:val="043E79D1"/>
    <w:rsid w:val="043F33DB"/>
    <w:rsid w:val="044415A9"/>
    <w:rsid w:val="0445405A"/>
    <w:rsid w:val="044A1114"/>
    <w:rsid w:val="044C008C"/>
    <w:rsid w:val="04552E83"/>
    <w:rsid w:val="04580ED4"/>
    <w:rsid w:val="045B002B"/>
    <w:rsid w:val="04616CCB"/>
    <w:rsid w:val="046D380D"/>
    <w:rsid w:val="046F363B"/>
    <w:rsid w:val="047630EA"/>
    <w:rsid w:val="047A6EEE"/>
    <w:rsid w:val="047B61AF"/>
    <w:rsid w:val="047E4363"/>
    <w:rsid w:val="047F7D16"/>
    <w:rsid w:val="04807F19"/>
    <w:rsid w:val="048620AA"/>
    <w:rsid w:val="04872D93"/>
    <w:rsid w:val="048D7937"/>
    <w:rsid w:val="049238A5"/>
    <w:rsid w:val="049B0E6A"/>
    <w:rsid w:val="049F0633"/>
    <w:rsid w:val="04A45AE7"/>
    <w:rsid w:val="04A633D7"/>
    <w:rsid w:val="04A723B6"/>
    <w:rsid w:val="04AA516E"/>
    <w:rsid w:val="04AB4FEC"/>
    <w:rsid w:val="04AD4B8B"/>
    <w:rsid w:val="04AD6D76"/>
    <w:rsid w:val="04B16C70"/>
    <w:rsid w:val="04B52053"/>
    <w:rsid w:val="04B6096F"/>
    <w:rsid w:val="04B70BE9"/>
    <w:rsid w:val="04B7478B"/>
    <w:rsid w:val="04BE27CE"/>
    <w:rsid w:val="04BF64DB"/>
    <w:rsid w:val="04C3481C"/>
    <w:rsid w:val="04C8060F"/>
    <w:rsid w:val="04C92CF0"/>
    <w:rsid w:val="04CB390F"/>
    <w:rsid w:val="04D00F77"/>
    <w:rsid w:val="04D27C15"/>
    <w:rsid w:val="04D459FA"/>
    <w:rsid w:val="04D65189"/>
    <w:rsid w:val="04DF660E"/>
    <w:rsid w:val="04E211D4"/>
    <w:rsid w:val="04EC7074"/>
    <w:rsid w:val="04F8221A"/>
    <w:rsid w:val="04F9770A"/>
    <w:rsid w:val="04FC5709"/>
    <w:rsid w:val="051B5E2D"/>
    <w:rsid w:val="051D7898"/>
    <w:rsid w:val="05200F3F"/>
    <w:rsid w:val="0520754F"/>
    <w:rsid w:val="052636CF"/>
    <w:rsid w:val="0547797B"/>
    <w:rsid w:val="054B2C58"/>
    <w:rsid w:val="05511679"/>
    <w:rsid w:val="05520B1B"/>
    <w:rsid w:val="0554794C"/>
    <w:rsid w:val="05553DD0"/>
    <w:rsid w:val="05572874"/>
    <w:rsid w:val="05580B32"/>
    <w:rsid w:val="05583F7B"/>
    <w:rsid w:val="055B0206"/>
    <w:rsid w:val="0561255E"/>
    <w:rsid w:val="05653A02"/>
    <w:rsid w:val="05684E01"/>
    <w:rsid w:val="056B7F67"/>
    <w:rsid w:val="05700CFA"/>
    <w:rsid w:val="05713D4A"/>
    <w:rsid w:val="05763EF9"/>
    <w:rsid w:val="057918B2"/>
    <w:rsid w:val="0579420F"/>
    <w:rsid w:val="05795269"/>
    <w:rsid w:val="057E0FD7"/>
    <w:rsid w:val="058400FB"/>
    <w:rsid w:val="0586618C"/>
    <w:rsid w:val="05896073"/>
    <w:rsid w:val="058D1883"/>
    <w:rsid w:val="058E331A"/>
    <w:rsid w:val="05941672"/>
    <w:rsid w:val="05971699"/>
    <w:rsid w:val="059B236F"/>
    <w:rsid w:val="059B32A7"/>
    <w:rsid w:val="059E3691"/>
    <w:rsid w:val="059F5D9C"/>
    <w:rsid w:val="05A558D5"/>
    <w:rsid w:val="05B35812"/>
    <w:rsid w:val="05BE5A15"/>
    <w:rsid w:val="05C12962"/>
    <w:rsid w:val="05C31A0E"/>
    <w:rsid w:val="05C52049"/>
    <w:rsid w:val="05CC6A7E"/>
    <w:rsid w:val="05CF32AE"/>
    <w:rsid w:val="05D75F40"/>
    <w:rsid w:val="05D83846"/>
    <w:rsid w:val="05DA061C"/>
    <w:rsid w:val="05DB101D"/>
    <w:rsid w:val="05E31D83"/>
    <w:rsid w:val="05E51DC0"/>
    <w:rsid w:val="05E6321E"/>
    <w:rsid w:val="05E80906"/>
    <w:rsid w:val="05F04C76"/>
    <w:rsid w:val="05F23FCE"/>
    <w:rsid w:val="05F4677F"/>
    <w:rsid w:val="06087B12"/>
    <w:rsid w:val="06094354"/>
    <w:rsid w:val="060A57DB"/>
    <w:rsid w:val="06143280"/>
    <w:rsid w:val="06161D00"/>
    <w:rsid w:val="061B43B8"/>
    <w:rsid w:val="06226AA3"/>
    <w:rsid w:val="06227838"/>
    <w:rsid w:val="06263DE9"/>
    <w:rsid w:val="06272BE3"/>
    <w:rsid w:val="062B7408"/>
    <w:rsid w:val="062C1EC6"/>
    <w:rsid w:val="062D57CC"/>
    <w:rsid w:val="062F75DA"/>
    <w:rsid w:val="06357C71"/>
    <w:rsid w:val="06373C35"/>
    <w:rsid w:val="06380DC9"/>
    <w:rsid w:val="063E7244"/>
    <w:rsid w:val="06423400"/>
    <w:rsid w:val="06512DD0"/>
    <w:rsid w:val="06556880"/>
    <w:rsid w:val="06594ACC"/>
    <w:rsid w:val="065E23F5"/>
    <w:rsid w:val="065F0CB5"/>
    <w:rsid w:val="06673295"/>
    <w:rsid w:val="06686D4D"/>
    <w:rsid w:val="067458C8"/>
    <w:rsid w:val="067E49F6"/>
    <w:rsid w:val="068F2552"/>
    <w:rsid w:val="069142D7"/>
    <w:rsid w:val="06973A22"/>
    <w:rsid w:val="069A134E"/>
    <w:rsid w:val="06A12BB8"/>
    <w:rsid w:val="06A354BF"/>
    <w:rsid w:val="06A52641"/>
    <w:rsid w:val="06A6721A"/>
    <w:rsid w:val="06AF2646"/>
    <w:rsid w:val="06B277C2"/>
    <w:rsid w:val="06C16B51"/>
    <w:rsid w:val="06C648B1"/>
    <w:rsid w:val="06CF35BD"/>
    <w:rsid w:val="06D42797"/>
    <w:rsid w:val="06D51C0F"/>
    <w:rsid w:val="06E4414A"/>
    <w:rsid w:val="06E84D75"/>
    <w:rsid w:val="06EB2F6E"/>
    <w:rsid w:val="06EF52F3"/>
    <w:rsid w:val="06F01D0C"/>
    <w:rsid w:val="06F435BD"/>
    <w:rsid w:val="06F55AAE"/>
    <w:rsid w:val="06FA4F05"/>
    <w:rsid w:val="070906C4"/>
    <w:rsid w:val="070E174D"/>
    <w:rsid w:val="07114B7A"/>
    <w:rsid w:val="071809C8"/>
    <w:rsid w:val="07186D56"/>
    <w:rsid w:val="071A2DAB"/>
    <w:rsid w:val="0721733B"/>
    <w:rsid w:val="07234A6A"/>
    <w:rsid w:val="07251E9C"/>
    <w:rsid w:val="0726212A"/>
    <w:rsid w:val="072B2FCC"/>
    <w:rsid w:val="072D1D94"/>
    <w:rsid w:val="073778E7"/>
    <w:rsid w:val="073F7F46"/>
    <w:rsid w:val="07490D1E"/>
    <w:rsid w:val="074D0D08"/>
    <w:rsid w:val="075453F9"/>
    <w:rsid w:val="075B498A"/>
    <w:rsid w:val="0764669C"/>
    <w:rsid w:val="07654F7A"/>
    <w:rsid w:val="07662B3F"/>
    <w:rsid w:val="07677EC5"/>
    <w:rsid w:val="076816D4"/>
    <w:rsid w:val="076C04AB"/>
    <w:rsid w:val="07716288"/>
    <w:rsid w:val="07767F1E"/>
    <w:rsid w:val="07781143"/>
    <w:rsid w:val="077E3FD9"/>
    <w:rsid w:val="077F73A3"/>
    <w:rsid w:val="07963CE1"/>
    <w:rsid w:val="07996370"/>
    <w:rsid w:val="079B1264"/>
    <w:rsid w:val="07A40F80"/>
    <w:rsid w:val="07A51428"/>
    <w:rsid w:val="07AB3A30"/>
    <w:rsid w:val="07B443CD"/>
    <w:rsid w:val="07BC2EEE"/>
    <w:rsid w:val="07C019DD"/>
    <w:rsid w:val="07C14B9B"/>
    <w:rsid w:val="07C45A94"/>
    <w:rsid w:val="07C61F88"/>
    <w:rsid w:val="07C864F2"/>
    <w:rsid w:val="07C87270"/>
    <w:rsid w:val="07C92F3E"/>
    <w:rsid w:val="07D05F75"/>
    <w:rsid w:val="07D24E2A"/>
    <w:rsid w:val="07D9133A"/>
    <w:rsid w:val="07DB7CB4"/>
    <w:rsid w:val="07E80F0B"/>
    <w:rsid w:val="07E85037"/>
    <w:rsid w:val="07E9276D"/>
    <w:rsid w:val="07E9446A"/>
    <w:rsid w:val="07EA3399"/>
    <w:rsid w:val="07EC19F5"/>
    <w:rsid w:val="07EF7092"/>
    <w:rsid w:val="07F06E95"/>
    <w:rsid w:val="07F51633"/>
    <w:rsid w:val="07F62E9A"/>
    <w:rsid w:val="07FF1A15"/>
    <w:rsid w:val="08085317"/>
    <w:rsid w:val="080E4850"/>
    <w:rsid w:val="080F1B16"/>
    <w:rsid w:val="080F380C"/>
    <w:rsid w:val="08100036"/>
    <w:rsid w:val="0811235A"/>
    <w:rsid w:val="08154241"/>
    <w:rsid w:val="08222CC0"/>
    <w:rsid w:val="08225938"/>
    <w:rsid w:val="082325E8"/>
    <w:rsid w:val="08284F7F"/>
    <w:rsid w:val="08344B4D"/>
    <w:rsid w:val="083B4289"/>
    <w:rsid w:val="083C682C"/>
    <w:rsid w:val="083D690F"/>
    <w:rsid w:val="08416468"/>
    <w:rsid w:val="084216D3"/>
    <w:rsid w:val="084518E0"/>
    <w:rsid w:val="08456538"/>
    <w:rsid w:val="08491DB8"/>
    <w:rsid w:val="084B02CC"/>
    <w:rsid w:val="084D265F"/>
    <w:rsid w:val="08554DE1"/>
    <w:rsid w:val="08594EDF"/>
    <w:rsid w:val="085B296F"/>
    <w:rsid w:val="085F2FD6"/>
    <w:rsid w:val="086121FE"/>
    <w:rsid w:val="086B2DB5"/>
    <w:rsid w:val="086B5DA6"/>
    <w:rsid w:val="086C2511"/>
    <w:rsid w:val="08754A81"/>
    <w:rsid w:val="087B70D7"/>
    <w:rsid w:val="087B7B82"/>
    <w:rsid w:val="088376E1"/>
    <w:rsid w:val="08864EC5"/>
    <w:rsid w:val="08980BAB"/>
    <w:rsid w:val="08A44F08"/>
    <w:rsid w:val="08A5384E"/>
    <w:rsid w:val="08AA5BF5"/>
    <w:rsid w:val="08B14555"/>
    <w:rsid w:val="08B514E2"/>
    <w:rsid w:val="08C24EFE"/>
    <w:rsid w:val="08C41E8D"/>
    <w:rsid w:val="08C8577F"/>
    <w:rsid w:val="08C97AC5"/>
    <w:rsid w:val="08D43B32"/>
    <w:rsid w:val="08D52288"/>
    <w:rsid w:val="08D924A9"/>
    <w:rsid w:val="08DA3FA8"/>
    <w:rsid w:val="08DD79C0"/>
    <w:rsid w:val="08E927DA"/>
    <w:rsid w:val="08EB59F0"/>
    <w:rsid w:val="08F006FC"/>
    <w:rsid w:val="08F83C2B"/>
    <w:rsid w:val="08FB0136"/>
    <w:rsid w:val="08FB11EE"/>
    <w:rsid w:val="08FF6821"/>
    <w:rsid w:val="090002E4"/>
    <w:rsid w:val="0904419D"/>
    <w:rsid w:val="09093B8E"/>
    <w:rsid w:val="090E5E0E"/>
    <w:rsid w:val="092141FC"/>
    <w:rsid w:val="09233A88"/>
    <w:rsid w:val="09256F9F"/>
    <w:rsid w:val="0926699A"/>
    <w:rsid w:val="092A6DE7"/>
    <w:rsid w:val="092D43FA"/>
    <w:rsid w:val="092D4F1C"/>
    <w:rsid w:val="093677EB"/>
    <w:rsid w:val="093A5A26"/>
    <w:rsid w:val="093D0096"/>
    <w:rsid w:val="0946305C"/>
    <w:rsid w:val="0948584A"/>
    <w:rsid w:val="09493002"/>
    <w:rsid w:val="094C661F"/>
    <w:rsid w:val="094E0A67"/>
    <w:rsid w:val="09597734"/>
    <w:rsid w:val="09636547"/>
    <w:rsid w:val="096C4215"/>
    <w:rsid w:val="096C74FF"/>
    <w:rsid w:val="096D2532"/>
    <w:rsid w:val="096E4B93"/>
    <w:rsid w:val="096E4D5C"/>
    <w:rsid w:val="0978669A"/>
    <w:rsid w:val="098147F0"/>
    <w:rsid w:val="098A3FEF"/>
    <w:rsid w:val="098F49D9"/>
    <w:rsid w:val="09A1176D"/>
    <w:rsid w:val="09A211FD"/>
    <w:rsid w:val="09A33D5F"/>
    <w:rsid w:val="09A405FC"/>
    <w:rsid w:val="09A43D4C"/>
    <w:rsid w:val="09B37BE6"/>
    <w:rsid w:val="09B414C1"/>
    <w:rsid w:val="09B64FB7"/>
    <w:rsid w:val="09B73E57"/>
    <w:rsid w:val="09BE27FD"/>
    <w:rsid w:val="09C22F64"/>
    <w:rsid w:val="09CC48D3"/>
    <w:rsid w:val="09D83BF1"/>
    <w:rsid w:val="09D867C7"/>
    <w:rsid w:val="09DA2E15"/>
    <w:rsid w:val="09DC6D7F"/>
    <w:rsid w:val="09E103DB"/>
    <w:rsid w:val="09EA2D1D"/>
    <w:rsid w:val="09F019FA"/>
    <w:rsid w:val="09F54E7B"/>
    <w:rsid w:val="0A03095D"/>
    <w:rsid w:val="0A031353"/>
    <w:rsid w:val="0A090E68"/>
    <w:rsid w:val="0A0F1C7A"/>
    <w:rsid w:val="0A0F75F4"/>
    <w:rsid w:val="0A265C5E"/>
    <w:rsid w:val="0A2D6676"/>
    <w:rsid w:val="0A302E0F"/>
    <w:rsid w:val="0A3A062B"/>
    <w:rsid w:val="0A3F2D2D"/>
    <w:rsid w:val="0A47596A"/>
    <w:rsid w:val="0A4836E0"/>
    <w:rsid w:val="0A4F006D"/>
    <w:rsid w:val="0A545C1F"/>
    <w:rsid w:val="0A570EE2"/>
    <w:rsid w:val="0A5F031D"/>
    <w:rsid w:val="0A622F1F"/>
    <w:rsid w:val="0A6A17FC"/>
    <w:rsid w:val="0A702C52"/>
    <w:rsid w:val="0A723635"/>
    <w:rsid w:val="0A892B7A"/>
    <w:rsid w:val="0A8B0B7B"/>
    <w:rsid w:val="0A8E180C"/>
    <w:rsid w:val="0A90564E"/>
    <w:rsid w:val="0A906536"/>
    <w:rsid w:val="0A945EFA"/>
    <w:rsid w:val="0A95539D"/>
    <w:rsid w:val="0A9C04AE"/>
    <w:rsid w:val="0AA1233E"/>
    <w:rsid w:val="0AA85249"/>
    <w:rsid w:val="0AA906FE"/>
    <w:rsid w:val="0AAE13F7"/>
    <w:rsid w:val="0AB10F07"/>
    <w:rsid w:val="0AB562EB"/>
    <w:rsid w:val="0ABA1F3B"/>
    <w:rsid w:val="0ABB7904"/>
    <w:rsid w:val="0ABF3741"/>
    <w:rsid w:val="0AC413CC"/>
    <w:rsid w:val="0AC663BC"/>
    <w:rsid w:val="0AC97E3D"/>
    <w:rsid w:val="0ACA3A43"/>
    <w:rsid w:val="0ACF3B75"/>
    <w:rsid w:val="0AE0396D"/>
    <w:rsid w:val="0AE17B6E"/>
    <w:rsid w:val="0AEA5836"/>
    <w:rsid w:val="0AEA76DA"/>
    <w:rsid w:val="0AEF65B4"/>
    <w:rsid w:val="0AF25DD5"/>
    <w:rsid w:val="0AF34787"/>
    <w:rsid w:val="0AF46C3F"/>
    <w:rsid w:val="0AF9254A"/>
    <w:rsid w:val="0AFB4861"/>
    <w:rsid w:val="0AFD1EB9"/>
    <w:rsid w:val="0AFE08A2"/>
    <w:rsid w:val="0B0E13D6"/>
    <w:rsid w:val="0B176325"/>
    <w:rsid w:val="0B1A291A"/>
    <w:rsid w:val="0B22625B"/>
    <w:rsid w:val="0B254CAA"/>
    <w:rsid w:val="0B28501B"/>
    <w:rsid w:val="0B286656"/>
    <w:rsid w:val="0B316748"/>
    <w:rsid w:val="0B3440C0"/>
    <w:rsid w:val="0B3B65E0"/>
    <w:rsid w:val="0B3C005F"/>
    <w:rsid w:val="0B455738"/>
    <w:rsid w:val="0B4C214A"/>
    <w:rsid w:val="0B5527AB"/>
    <w:rsid w:val="0B5631E4"/>
    <w:rsid w:val="0B594D3B"/>
    <w:rsid w:val="0B65171B"/>
    <w:rsid w:val="0B6B272A"/>
    <w:rsid w:val="0B6D1F77"/>
    <w:rsid w:val="0B723D3E"/>
    <w:rsid w:val="0B785BF1"/>
    <w:rsid w:val="0B7A50DB"/>
    <w:rsid w:val="0B7E624E"/>
    <w:rsid w:val="0B831B71"/>
    <w:rsid w:val="0B8A6A06"/>
    <w:rsid w:val="0B8B3A3B"/>
    <w:rsid w:val="0B981A63"/>
    <w:rsid w:val="0BA158F6"/>
    <w:rsid w:val="0BA37183"/>
    <w:rsid w:val="0BA82B04"/>
    <w:rsid w:val="0BAA4E39"/>
    <w:rsid w:val="0BAB71E3"/>
    <w:rsid w:val="0BAC469F"/>
    <w:rsid w:val="0BAF3611"/>
    <w:rsid w:val="0BB95B1E"/>
    <w:rsid w:val="0BBA5AE1"/>
    <w:rsid w:val="0BBC6C1A"/>
    <w:rsid w:val="0BC20CC4"/>
    <w:rsid w:val="0BC26E21"/>
    <w:rsid w:val="0BC76268"/>
    <w:rsid w:val="0BC83BB1"/>
    <w:rsid w:val="0BCB25EE"/>
    <w:rsid w:val="0BCB744C"/>
    <w:rsid w:val="0BCB7DEA"/>
    <w:rsid w:val="0BCE580E"/>
    <w:rsid w:val="0BD4298E"/>
    <w:rsid w:val="0BD62C0F"/>
    <w:rsid w:val="0BDA3FDB"/>
    <w:rsid w:val="0BE879AE"/>
    <w:rsid w:val="0BEC24ED"/>
    <w:rsid w:val="0BED5C90"/>
    <w:rsid w:val="0BF54038"/>
    <w:rsid w:val="0BFD46D3"/>
    <w:rsid w:val="0C0110FB"/>
    <w:rsid w:val="0C055D2C"/>
    <w:rsid w:val="0C1232A8"/>
    <w:rsid w:val="0C1B0491"/>
    <w:rsid w:val="0C1B4521"/>
    <w:rsid w:val="0C2343CE"/>
    <w:rsid w:val="0C28198E"/>
    <w:rsid w:val="0C287ECF"/>
    <w:rsid w:val="0C293F71"/>
    <w:rsid w:val="0C2E6FB6"/>
    <w:rsid w:val="0C304B08"/>
    <w:rsid w:val="0C323823"/>
    <w:rsid w:val="0C426C85"/>
    <w:rsid w:val="0C432D86"/>
    <w:rsid w:val="0C4E63B2"/>
    <w:rsid w:val="0C574E9F"/>
    <w:rsid w:val="0C594881"/>
    <w:rsid w:val="0C596C01"/>
    <w:rsid w:val="0C5E4639"/>
    <w:rsid w:val="0C6A7ED1"/>
    <w:rsid w:val="0C6F7D6D"/>
    <w:rsid w:val="0C7A2965"/>
    <w:rsid w:val="0C7B0DAB"/>
    <w:rsid w:val="0C884ACA"/>
    <w:rsid w:val="0C8935B7"/>
    <w:rsid w:val="0C895198"/>
    <w:rsid w:val="0C8D5C06"/>
    <w:rsid w:val="0C8F69B8"/>
    <w:rsid w:val="0C910BF3"/>
    <w:rsid w:val="0C9A5993"/>
    <w:rsid w:val="0CA43FE3"/>
    <w:rsid w:val="0CA763A8"/>
    <w:rsid w:val="0CBF3DD1"/>
    <w:rsid w:val="0CBF4267"/>
    <w:rsid w:val="0CD21CB7"/>
    <w:rsid w:val="0CD624D0"/>
    <w:rsid w:val="0CDB3A09"/>
    <w:rsid w:val="0D024E4D"/>
    <w:rsid w:val="0D02682F"/>
    <w:rsid w:val="0D0350C9"/>
    <w:rsid w:val="0D072C50"/>
    <w:rsid w:val="0D0A3F56"/>
    <w:rsid w:val="0D0C384C"/>
    <w:rsid w:val="0D0F458A"/>
    <w:rsid w:val="0D1757D9"/>
    <w:rsid w:val="0D1969DD"/>
    <w:rsid w:val="0D1C4C53"/>
    <w:rsid w:val="0D1D4C1E"/>
    <w:rsid w:val="0D225593"/>
    <w:rsid w:val="0D2475E0"/>
    <w:rsid w:val="0D297DF3"/>
    <w:rsid w:val="0D385411"/>
    <w:rsid w:val="0D3E2153"/>
    <w:rsid w:val="0D453BAD"/>
    <w:rsid w:val="0D455C6C"/>
    <w:rsid w:val="0D483CBE"/>
    <w:rsid w:val="0D4C2168"/>
    <w:rsid w:val="0D5235A5"/>
    <w:rsid w:val="0D5D1B45"/>
    <w:rsid w:val="0D6712AB"/>
    <w:rsid w:val="0D6924B4"/>
    <w:rsid w:val="0D6D7CC3"/>
    <w:rsid w:val="0D730714"/>
    <w:rsid w:val="0D752347"/>
    <w:rsid w:val="0D7D5968"/>
    <w:rsid w:val="0D7E7590"/>
    <w:rsid w:val="0D8107A5"/>
    <w:rsid w:val="0D882377"/>
    <w:rsid w:val="0D8952C8"/>
    <w:rsid w:val="0D8A3635"/>
    <w:rsid w:val="0D950038"/>
    <w:rsid w:val="0D9547D8"/>
    <w:rsid w:val="0D9E5F19"/>
    <w:rsid w:val="0DA21DB4"/>
    <w:rsid w:val="0DB14B01"/>
    <w:rsid w:val="0DB42335"/>
    <w:rsid w:val="0DB7181F"/>
    <w:rsid w:val="0DC75B70"/>
    <w:rsid w:val="0DC93981"/>
    <w:rsid w:val="0DD339D9"/>
    <w:rsid w:val="0DD568C6"/>
    <w:rsid w:val="0DD75970"/>
    <w:rsid w:val="0DDB1764"/>
    <w:rsid w:val="0DE00F77"/>
    <w:rsid w:val="0DE306B5"/>
    <w:rsid w:val="0DE322D6"/>
    <w:rsid w:val="0E0B7F2C"/>
    <w:rsid w:val="0E10454B"/>
    <w:rsid w:val="0E165F90"/>
    <w:rsid w:val="0E170B4F"/>
    <w:rsid w:val="0E206EC3"/>
    <w:rsid w:val="0E260DE1"/>
    <w:rsid w:val="0E26305C"/>
    <w:rsid w:val="0E2A0339"/>
    <w:rsid w:val="0E2A25DA"/>
    <w:rsid w:val="0E2C657F"/>
    <w:rsid w:val="0E2C6E3A"/>
    <w:rsid w:val="0E323274"/>
    <w:rsid w:val="0E373481"/>
    <w:rsid w:val="0E3A74C4"/>
    <w:rsid w:val="0E401365"/>
    <w:rsid w:val="0E4A2328"/>
    <w:rsid w:val="0E594261"/>
    <w:rsid w:val="0E5A14A0"/>
    <w:rsid w:val="0E5B15B0"/>
    <w:rsid w:val="0E5C74E8"/>
    <w:rsid w:val="0E626314"/>
    <w:rsid w:val="0E6F097D"/>
    <w:rsid w:val="0E70754B"/>
    <w:rsid w:val="0E74563A"/>
    <w:rsid w:val="0E753626"/>
    <w:rsid w:val="0E771E58"/>
    <w:rsid w:val="0E796DFA"/>
    <w:rsid w:val="0E7A52BE"/>
    <w:rsid w:val="0E7B1820"/>
    <w:rsid w:val="0E7B61FB"/>
    <w:rsid w:val="0E81207E"/>
    <w:rsid w:val="0E83344B"/>
    <w:rsid w:val="0E884BDA"/>
    <w:rsid w:val="0E915F8A"/>
    <w:rsid w:val="0E961603"/>
    <w:rsid w:val="0E983633"/>
    <w:rsid w:val="0EAA73B4"/>
    <w:rsid w:val="0EB043E6"/>
    <w:rsid w:val="0EB0495D"/>
    <w:rsid w:val="0EB21A5E"/>
    <w:rsid w:val="0EB255FF"/>
    <w:rsid w:val="0EB66E2D"/>
    <w:rsid w:val="0EB73A87"/>
    <w:rsid w:val="0EBC12A1"/>
    <w:rsid w:val="0EC21AFD"/>
    <w:rsid w:val="0EC66F72"/>
    <w:rsid w:val="0ECC276B"/>
    <w:rsid w:val="0ED20EA8"/>
    <w:rsid w:val="0ED32F6C"/>
    <w:rsid w:val="0ED7249D"/>
    <w:rsid w:val="0ED84546"/>
    <w:rsid w:val="0EE13C95"/>
    <w:rsid w:val="0EE52F02"/>
    <w:rsid w:val="0EE61E0B"/>
    <w:rsid w:val="0EEB2121"/>
    <w:rsid w:val="0EEB6D04"/>
    <w:rsid w:val="0EEC6E27"/>
    <w:rsid w:val="0EF35CBD"/>
    <w:rsid w:val="0EFD2CC2"/>
    <w:rsid w:val="0EFF0213"/>
    <w:rsid w:val="0F006E4B"/>
    <w:rsid w:val="0F0555EE"/>
    <w:rsid w:val="0F0A399D"/>
    <w:rsid w:val="0F0B1157"/>
    <w:rsid w:val="0F124DFB"/>
    <w:rsid w:val="0F2566D6"/>
    <w:rsid w:val="0F3058F0"/>
    <w:rsid w:val="0F334F38"/>
    <w:rsid w:val="0F390E3D"/>
    <w:rsid w:val="0F3B729A"/>
    <w:rsid w:val="0F3D04E9"/>
    <w:rsid w:val="0F440231"/>
    <w:rsid w:val="0F477871"/>
    <w:rsid w:val="0F477973"/>
    <w:rsid w:val="0F4B3454"/>
    <w:rsid w:val="0F521E2E"/>
    <w:rsid w:val="0F527028"/>
    <w:rsid w:val="0F5313BA"/>
    <w:rsid w:val="0F5801E9"/>
    <w:rsid w:val="0F5C4C71"/>
    <w:rsid w:val="0F5E7046"/>
    <w:rsid w:val="0F675A2D"/>
    <w:rsid w:val="0F7D5DFD"/>
    <w:rsid w:val="0F8012E7"/>
    <w:rsid w:val="0F8116C6"/>
    <w:rsid w:val="0F8B4E90"/>
    <w:rsid w:val="0F8D3CC2"/>
    <w:rsid w:val="0F927670"/>
    <w:rsid w:val="0F977AA3"/>
    <w:rsid w:val="0FA54926"/>
    <w:rsid w:val="0FB7307F"/>
    <w:rsid w:val="0FC23131"/>
    <w:rsid w:val="0FC37510"/>
    <w:rsid w:val="0FC407AB"/>
    <w:rsid w:val="0FC55DD4"/>
    <w:rsid w:val="0FCB5A7E"/>
    <w:rsid w:val="0FCB5DA8"/>
    <w:rsid w:val="0FCF6F78"/>
    <w:rsid w:val="0FD20A54"/>
    <w:rsid w:val="0FDD64B4"/>
    <w:rsid w:val="0FDF2015"/>
    <w:rsid w:val="0FEA2108"/>
    <w:rsid w:val="0FEC32E3"/>
    <w:rsid w:val="0FEE5F63"/>
    <w:rsid w:val="0FF864B2"/>
    <w:rsid w:val="1002491E"/>
    <w:rsid w:val="10082347"/>
    <w:rsid w:val="100D77C9"/>
    <w:rsid w:val="100F5ECF"/>
    <w:rsid w:val="10123E88"/>
    <w:rsid w:val="10173B20"/>
    <w:rsid w:val="101B4B2B"/>
    <w:rsid w:val="10214450"/>
    <w:rsid w:val="102157F3"/>
    <w:rsid w:val="102928F7"/>
    <w:rsid w:val="103273A4"/>
    <w:rsid w:val="104445C3"/>
    <w:rsid w:val="10463F92"/>
    <w:rsid w:val="1046747A"/>
    <w:rsid w:val="104F503B"/>
    <w:rsid w:val="106104D8"/>
    <w:rsid w:val="10614B4D"/>
    <w:rsid w:val="106807AB"/>
    <w:rsid w:val="10682153"/>
    <w:rsid w:val="10697106"/>
    <w:rsid w:val="106E50C7"/>
    <w:rsid w:val="106F4BF2"/>
    <w:rsid w:val="1079125F"/>
    <w:rsid w:val="10795FF0"/>
    <w:rsid w:val="107E7E13"/>
    <w:rsid w:val="108065DC"/>
    <w:rsid w:val="10842C5E"/>
    <w:rsid w:val="109B3B87"/>
    <w:rsid w:val="10A556D8"/>
    <w:rsid w:val="10A63EFB"/>
    <w:rsid w:val="10AB4D0E"/>
    <w:rsid w:val="10BD4626"/>
    <w:rsid w:val="10BE3224"/>
    <w:rsid w:val="10C35654"/>
    <w:rsid w:val="10C36361"/>
    <w:rsid w:val="10C93451"/>
    <w:rsid w:val="10D35981"/>
    <w:rsid w:val="10DF10E1"/>
    <w:rsid w:val="10E6673F"/>
    <w:rsid w:val="10E80D8D"/>
    <w:rsid w:val="10E96507"/>
    <w:rsid w:val="10ED79A2"/>
    <w:rsid w:val="10EE5DD1"/>
    <w:rsid w:val="10EF19E4"/>
    <w:rsid w:val="10EF5F16"/>
    <w:rsid w:val="10F046AC"/>
    <w:rsid w:val="11032AF5"/>
    <w:rsid w:val="11101151"/>
    <w:rsid w:val="11121ABB"/>
    <w:rsid w:val="1112714C"/>
    <w:rsid w:val="11130EB6"/>
    <w:rsid w:val="11137416"/>
    <w:rsid w:val="11174D87"/>
    <w:rsid w:val="111A6A63"/>
    <w:rsid w:val="1121026D"/>
    <w:rsid w:val="11235949"/>
    <w:rsid w:val="11254494"/>
    <w:rsid w:val="11262D96"/>
    <w:rsid w:val="11347954"/>
    <w:rsid w:val="113B4AF5"/>
    <w:rsid w:val="113D45ED"/>
    <w:rsid w:val="11420975"/>
    <w:rsid w:val="114B2327"/>
    <w:rsid w:val="11537076"/>
    <w:rsid w:val="115759CE"/>
    <w:rsid w:val="115808BE"/>
    <w:rsid w:val="115973A2"/>
    <w:rsid w:val="115E5C78"/>
    <w:rsid w:val="1161026A"/>
    <w:rsid w:val="11626FB3"/>
    <w:rsid w:val="11686319"/>
    <w:rsid w:val="116A3787"/>
    <w:rsid w:val="1172122A"/>
    <w:rsid w:val="11751226"/>
    <w:rsid w:val="117525C4"/>
    <w:rsid w:val="11767657"/>
    <w:rsid w:val="11781DFA"/>
    <w:rsid w:val="11807847"/>
    <w:rsid w:val="118457F6"/>
    <w:rsid w:val="118828CF"/>
    <w:rsid w:val="118B7CC4"/>
    <w:rsid w:val="118C0D72"/>
    <w:rsid w:val="118C46DA"/>
    <w:rsid w:val="11997C59"/>
    <w:rsid w:val="119C29A2"/>
    <w:rsid w:val="119E62B1"/>
    <w:rsid w:val="11A36C23"/>
    <w:rsid w:val="11AC79D2"/>
    <w:rsid w:val="11AE7D60"/>
    <w:rsid w:val="11AF7D17"/>
    <w:rsid w:val="11B60BF4"/>
    <w:rsid w:val="11B7574C"/>
    <w:rsid w:val="11BA75D3"/>
    <w:rsid w:val="11C16227"/>
    <w:rsid w:val="11C50404"/>
    <w:rsid w:val="11C5334A"/>
    <w:rsid w:val="11C7549C"/>
    <w:rsid w:val="11CA0DD9"/>
    <w:rsid w:val="11CF5D72"/>
    <w:rsid w:val="11D13C44"/>
    <w:rsid w:val="11D617CC"/>
    <w:rsid w:val="11D76D15"/>
    <w:rsid w:val="11D802C7"/>
    <w:rsid w:val="11D8124F"/>
    <w:rsid w:val="11DE3EEA"/>
    <w:rsid w:val="11DF104E"/>
    <w:rsid w:val="11ED6142"/>
    <w:rsid w:val="11F15A65"/>
    <w:rsid w:val="11F5597E"/>
    <w:rsid w:val="11F9390A"/>
    <w:rsid w:val="11FA67FD"/>
    <w:rsid w:val="12053DDA"/>
    <w:rsid w:val="12094E47"/>
    <w:rsid w:val="120A16E2"/>
    <w:rsid w:val="1212107A"/>
    <w:rsid w:val="1221024E"/>
    <w:rsid w:val="12254724"/>
    <w:rsid w:val="12254B65"/>
    <w:rsid w:val="12263966"/>
    <w:rsid w:val="122D5A1D"/>
    <w:rsid w:val="122F0692"/>
    <w:rsid w:val="12313C11"/>
    <w:rsid w:val="12325D1D"/>
    <w:rsid w:val="123867FA"/>
    <w:rsid w:val="123873C1"/>
    <w:rsid w:val="123A3C29"/>
    <w:rsid w:val="123E15F4"/>
    <w:rsid w:val="12414577"/>
    <w:rsid w:val="12455CAD"/>
    <w:rsid w:val="124708F9"/>
    <w:rsid w:val="12497908"/>
    <w:rsid w:val="124A1FFD"/>
    <w:rsid w:val="124A6B56"/>
    <w:rsid w:val="124B659D"/>
    <w:rsid w:val="124C349B"/>
    <w:rsid w:val="12514D1C"/>
    <w:rsid w:val="12540DA1"/>
    <w:rsid w:val="125B084E"/>
    <w:rsid w:val="12633CB9"/>
    <w:rsid w:val="12642649"/>
    <w:rsid w:val="12643DE4"/>
    <w:rsid w:val="126D57FF"/>
    <w:rsid w:val="126E5FD8"/>
    <w:rsid w:val="12766947"/>
    <w:rsid w:val="127E6792"/>
    <w:rsid w:val="127F52A7"/>
    <w:rsid w:val="12826E30"/>
    <w:rsid w:val="128301BF"/>
    <w:rsid w:val="128303BF"/>
    <w:rsid w:val="128C175C"/>
    <w:rsid w:val="129C4B1E"/>
    <w:rsid w:val="12A13BDA"/>
    <w:rsid w:val="12A142E5"/>
    <w:rsid w:val="12A8272F"/>
    <w:rsid w:val="12B10B99"/>
    <w:rsid w:val="12B177F0"/>
    <w:rsid w:val="12B209E5"/>
    <w:rsid w:val="12B43E24"/>
    <w:rsid w:val="12C052D2"/>
    <w:rsid w:val="12C60939"/>
    <w:rsid w:val="12D4415B"/>
    <w:rsid w:val="12DF51C5"/>
    <w:rsid w:val="12E0156B"/>
    <w:rsid w:val="12F00E7B"/>
    <w:rsid w:val="12F85E8C"/>
    <w:rsid w:val="12F95EB4"/>
    <w:rsid w:val="13076BAF"/>
    <w:rsid w:val="130F1DA9"/>
    <w:rsid w:val="13124B4C"/>
    <w:rsid w:val="13125764"/>
    <w:rsid w:val="131752BC"/>
    <w:rsid w:val="13185ED4"/>
    <w:rsid w:val="131922EB"/>
    <w:rsid w:val="13194444"/>
    <w:rsid w:val="131B13D9"/>
    <w:rsid w:val="131B30C6"/>
    <w:rsid w:val="131C6DBF"/>
    <w:rsid w:val="131D37B8"/>
    <w:rsid w:val="13217DAA"/>
    <w:rsid w:val="13226D00"/>
    <w:rsid w:val="1324372F"/>
    <w:rsid w:val="13281A01"/>
    <w:rsid w:val="13293F45"/>
    <w:rsid w:val="132A041E"/>
    <w:rsid w:val="1333255F"/>
    <w:rsid w:val="133C10A0"/>
    <w:rsid w:val="134416B2"/>
    <w:rsid w:val="13441C6C"/>
    <w:rsid w:val="1348767C"/>
    <w:rsid w:val="13537D38"/>
    <w:rsid w:val="135C41A2"/>
    <w:rsid w:val="135D0726"/>
    <w:rsid w:val="13645B2A"/>
    <w:rsid w:val="13667089"/>
    <w:rsid w:val="13834E54"/>
    <w:rsid w:val="138C3BB4"/>
    <w:rsid w:val="138E21E8"/>
    <w:rsid w:val="139703D5"/>
    <w:rsid w:val="13AA36AA"/>
    <w:rsid w:val="13AA72DA"/>
    <w:rsid w:val="13AE4A5F"/>
    <w:rsid w:val="13AF27E1"/>
    <w:rsid w:val="13B4098E"/>
    <w:rsid w:val="13B62320"/>
    <w:rsid w:val="13C016D1"/>
    <w:rsid w:val="13C55614"/>
    <w:rsid w:val="13C673D1"/>
    <w:rsid w:val="13CC04F7"/>
    <w:rsid w:val="13D74838"/>
    <w:rsid w:val="13D96303"/>
    <w:rsid w:val="13DA687D"/>
    <w:rsid w:val="13E10373"/>
    <w:rsid w:val="13E30309"/>
    <w:rsid w:val="13E308A7"/>
    <w:rsid w:val="13E42CC7"/>
    <w:rsid w:val="13E4364F"/>
    <w:rsid w:val="13E64C99"/>
    <w:rsid w:val="13E932C7"/>
    <w:rsid w:val="13ED4B00"/>
    <w:rsid w:val="13EF1BCA"/>
    <w:rsid w:val="13F253BC"/>
    <w:rsid w:val="13F25A23"/>
    <w:rsid w:val="13FD2942"/>
    <w:rsid w:val="1400415D"/>
    <w:rsid w:val="14012738"/>
    <w:rsid w:val="14086E6B"/>
    <w:rsid w:val="141040CC"/>
    <w:rsid w:val="141167D5"/>
    <w:rsid w:val="14175A82"/>
    <w:rsid w:val="14194856"/>
    <w:rsid w:val="1426080A"/>
    <w:rsid w:val="14264E47"/>
    <w:rsid w:val="142E162C"/>
    <w:rsid w:val="143533E9"/>
    <w:rsid w:val="14353A7B"/>
    <w:rsid w:val="143B3472"/>
    <w:rsid w:val="143D3421"/>
    <w:rsid w:val="1443416E"/>
    <w:rsid w:val="144546F2"/>
    <w:rsid w:val="14493FB1"/>
    <w:rsid w:val="144D7A2D"/>
    <w:rsid w:val="145075DE"/>
    <w:rsid w:val="145640A8"/>
    <w:rsid w:val="145D7420"/>
    <w:rsid w:val="14654D1B"/>
    <w:rsid w:val="14687805"/>
    <w:rsid w:val="146A17AC"/>
    <w:rsid w:val="146B1CFB"/>
    <w:rsid w:val="146D65F1"/>
    <w:rsid w:val="147507BA"/>
    <w:rsid w:val="147C4CAE"/>
    <w:rsid w:val="147C57D7"/>
    <w:rsid w:val="1483745E"/>
    <w:rsid w:val="148531C1"/>
    <w:rsid w:val="14867DC8"/>
    <w:rsid w:val="14876C9E"/>
    <w:rsid w:val="148A1BBB"/>
    <w:rsid w:val="149746A4"/>
    <w:rsid w:val="14A5629F"/>
    <w:rsid w:val="14B3042E"/>
    <w:rsid w:val="14B872BA"/>
    <w:rsid w:val="14C453B3"/>
    <w:rsid w:val="14C569D9"/>
    <w:rsid w:val="14C65E96"/>
    <w:rsid w:val="14D141D7"/>
    <w:rsid w:val="14D5012B"/>
    <w:rsid w:val="14E47191"/>
    <w:rsid w:val="14E9786D"/>
    <w:rsid w:val="14EC3E5C"/>
    <w:rsid w:val="14ED0A8C"/>
    <w:rsid w:val="14F02BBD"/>
    <w:rsid w:val="14F63F80"/>
    <w:rsid w:val="14FA4CD9"/>
    <w:rsid w:val="14FB5F43"/>
    <w:rsid w:val="15023202"/>
    <w:rsid w:val="15100FA6"/>
    <w:rsid w:val="1513479B"/>
    <w:rsid w:val="151D2BFF"/>
    <w:rsid w:val="151F6DBF"/>
    <w:rsid w:val="1523711F"/>
    <w:rsid w:val="15262908"/>
    <w:rsid w:val="1529226A"/>
    <w:rsid w:val="152F620B"/>
    <w:rsid w:val="15387A07"/>
    <w:rsid w:val="153C1F3A"/>
    <w:rsid w:val="153D0A90"/>
    <w:rsid w:val="153D638E"/>
    <w:rsid w:val="153E4B6C"/>
    <w:rsid w:val="15494BB0"/>
    <w:rsid w:val="154A5317"/>
    <w:rsid w:val="154D3BE2"/>
    <w:rsid w:val="155D4772"/>
    <w:rsid w:val="156103E7"/>
    <w:rsid w:val="15635D03"/>
    <w:rsid w:val="157723EB"/>
    <w:rsid w:val="157876E1"/>
    <w:rsid w:val="15792A24"/>
    <w:rsid w:val="15821A45"/>
    <w:rsid w:val="15825A68"/>
    <w:rsid w:val="1587641C"/>
    <w:rsid w:val="158A42AA"/>
    <w:rsid w:val="159109A5"/>
    <w:rsid w:val="159A616F"/>
    <w:rsid w:val="15A63099"/>
    <w:rsid w:val="15AA7715"/>
    <w:rsid w:val="15AC1F1E"/>
    <w:rsid w:val="15B274DC"/>
    <w:rsid w:val="15B51F07"/>
    <w:rsid w:val="15B64890"/>
    <w:rsid w:val="15B7100A"/>
    <w:rsid w:val="15B80504"/>
    <w:rsid w:val="15BB7F8A"/>
    <w:rsid w:val="15C532BF"/>
    <w:rsid w:val="15CB56F8"/>
    <w:rsid w:val="15D0130C"/>
    <w:rsid w:val="15D2523F"/>
    <w:rsid w:val="15D61E56"/>
    <w:rsid w:val="15DC216E"/>
    <w:rsid w:val="15E577C7"/>
    <w:rsid w:val="15EA10AD"/>
    <w:rsid w:val="15EB18DC"/>
    <w:rsid w:val="15F04781"/>
    <w:rsid w:val="1603535D"/>
    <w:rsid w:val="160856FA"/>
    <w:rsid w:val="161409A3"/>
    <w:rsid w:val="161E1AD8"/>
    <w:rsid w:val="16223FCC"/>
    <w:rsid w:val="163E0BDC"/>
    <w:rsid w:val="164129F4"/>
    <w:rsid w:val="16446CE1"/>
    <w:rsid w:val="16570F3D"/>
    <w:rsid w:val="165D6775"/>
    <w:rsid w:val="165F0C11"/>
    <w:rsid w:val="16660F5F"/>
    <w:rsid w:val="166A6944"/>
    <w:rsid w:val="166D0B60"/>
    <w:rsid w:val="167457C0"/>
    <w:rsid w:val="16764363"/>
    <w:rsid w:val="167F4E63"/>
    <w:rsid w:val="16837FDA"/>
    <w:rsid w:val="1684192E"/>
    <w:rsid w:val="168B1464"/>
    <w:rsid w:val="168E0B29"/>
    <w:rsid w:val="1698607C"/>
    <w:rsid w:val="169D4DEC"/>
    <w:rsid w:val="16A6025D"/>
    <w:rsid w:val="16AD2E93"/>
    <w:rsid w:val="16AE155D"/>
    <w:rsid w:val="16B60E24"/>
    <w:rsid w:val="16C0346B"/>
    <w:rsid w:val="16C31989"/>
    <w:rsid w:val="16C44A98"/>
    <w:rsid w:val="16C91F5D"/>
    <w:rsid w:val="16CA33B6"/>
    <w:rsid w:val="16CA43EC"/>
    <w:rsid w:val="16CB3473"/>
    <w:rsid w:val="16CF015B"/>
    <w:rsid w:val="16D2156F"/>
    <w:rsid w:val="16D845B0"/>
    <w:rsid w:val="16E90326"/>
    <w:rsid w:val="16EF5D8C"/>
    <w:rsid w:val="16F06A95"/>
    <w:rsid w:val="16FA0A4D"/>
    <w:rsid w:val="16FE147F"/>
    <w:rsid w:val="16FE5234"/>
    <w:rsid w:val="170254B7"/>
    <w:rsid w:val="17036CB3"/>
    <w:rsid w:val="170524AD"/>
    <w:rsid w:val="170945A3"/>
    <w:rsid w:val="171476E9"/>
    <w:rsid w:val="171B7E32"/>
    <w:rsid w:val="171E610A"/>
    <w:rsid w:val="171F37D7"/>
    <w:rsid w:val="1725540B"/>
    <w:rsid w:val="17351DB9"/>
    <w:rsid w:val="17393127"/>
    <w:rsid w:val="17422E25"/>
    <w:rsid w:val="17423214"/>
    <w:rsid w:val="174903F6"/>
    <w:rsid w:val="17570B9A"/>
    <w:rsid w:val="175E591B"/>
    <w:rsid w:val="17620AE6"/>
    <w:rsid w:val="1764322A"/>
    <w:rsid w:val="176B2070"/>
    <w:rsid w:val="17706CD4"/>
    <w:rsid w:val="17732C4B"/>
    <w:rsid w:val="177B12E6"/>
    <w:rsid w:val="17813432"/>
    <w:rsid w:val="17835639"/>
    <w:rsid w:val="17860A46"/>
    <w:rsid w:val="178A3414"/>
    <w:rsid w:val="178D1B35"/>
    <w:rsid w:val="178F5437"/>
    <w:rsid w:val="17945C8C"/>
    <w:rsid w:val="17990DD4"/>
    <w:rsid w:val="17993F3A"/>
    <w:rsid w:val="17A05B85"/>
    <w:rsid w:val="17A174A4"/>
    <w:rsid w:val="17A30712"/>
    <w:rsid w:val="17A72EA0"/>
    <w:rsid w:val="17AE6614"/>
    <w:rsid w:val="17B4034A"/>
    <w:rsid w:val="17BD1567"/>
    <w:rsid w:val="17BE15AA"/>
    <w:rsid w:val="17BE4E82"/>
    <w:rsid w:val="17C13630"/>
    <w:rsid w:val="17C142EC"/>
    <w:rsid w:val="17C1545E"/>
    <w:rsid w:val="17C7160E"/>
    <w:rsid w:val="17D80C3B"/>
    <w:rsid w:val="17DB1F01"/>
    <w:rsid w:val="17DE3E41"/>
    <w:rsid w:val="17DF6C02"/>
    <w:rsid w:val="17E12765"/>
    <w:rsid w:val="17EE6B69"/>
    <w:rsid w:val="17F118FB"/>
    <w:rsid w:val="17F27D31"/>
    <w:rsid w:val="17F72E82"/>
    <w:rsid w:val="17FC3372"/>
    <w:rsid w:val="17FE4B96"/>
    <w:rsid w:val="18015BFF"/>
    <w:rsid w:val="18023379"/>
    <w:rsid w:val="1807600A"/>
    <w:rsid w:val="180C5D46"/>
    <w:rsid w:val="1814736E"/>
    <w:rsid w:val="181960F3"/>
    <w:rsid w:val="181B3A37"/>
    <w:rsid w:val="181E152E"/>
    <w:rsid w:val="18213EE3"/>
    <w:rsid w:val="18252AF9"/>
    <w:rsid w:val="182971A7"/>
    <w:rsid w:val="18297B0F"/>
    <w:rsid w:val="182B0B12"/>
    <w:rsid w:val="182B33F6"/>
    <w:rsid w:val="182B7D1A"/>
    <w:rsid w:val="182E057C"/>
    <w:rsid w:val="182E497A"/>
    <w:rsid w:val="182F2D36"/>
    <w:rsid w:val="1830781F"/>
    <w:rsid w:val="183C1763"/>
    <w:rsid w:val="184476DA"/>
    <w:rsid w:val="18587C4F"/>
    <w:rsid w:val="185C086E"/>
    <w:rsid w:val="186051A6"/>
    <w:rsid w:val="18672953"/>
    <w:rsid w:val="18697C3A"/>
    <w:rsid w:val="186C29AA"/>
    <w:rsid w:val="186E5FD9"/>
    <w:rsid w:val="18734825"/>
    <w:rsid w:val="18795AAD"/>
    <w:rsid w:val="187A4293"/>
    <w:rsid w:val="187F56E5"/>
    <w:rsid w:val="188C17ED"/>
    <w:rsid w:val="1895157E"/>
    <w:rsid w:val="18A518FF"/>
    <w:rsid w:val="18A574B1"/>
    <w:rsid w:val="18AF5D72"/>
    <w:rsid w:val="18B542B4"/>
    <w:rsid w:val="18BB161F"/>
    <w:rsid w:val="18C02901"/>
    <w:rsid w:val="18C967A6"/>
    <w:rsid w:val="18CC367D"/>
    <w:rsid w:val="18CF54E2"/>
    <w:rsid w:val="18D51E03"/>
    <w:rsid w:val="18D553CC"/>
    <w:rsid w:val="18D8640E"/>
    <w:rsid w:val="18DC2029"/>
    <w:rsid w:val="18DC6725"/>
    <w:rsid w:val="18E51EDB"/>
    <w:rsid w:val="18EC1DAC"/>
    <w:rsid w:val="18EC69AA"/>
    <w:rsid w:val="18F324CC"/>
    <w:rsid w:val="18F44372"/>
    <w:rsid w:val="18F66DE3"/>
    <w:rsid w:val="18F76747"/>
    <w:rsid w:val="18FA727E"/>
    <w:rsid w:val="1906070A"/>
    <w:rsid w:val="19087E5A"/>
    <w:rsid w:val="190B5982"/>
    <w:rsid w:val="190E24A2"/>
    <w:rsid w:val="190F246E"/>
    <w:rsid w:val="1910107B"/>
    <w:rsid w:val="19241F98"/>
    <w:rsid w:val="19285212"/>
    <w:rsid w:val="192B582F"/>
    <w:rsid w:val="193C5189"/>
    <w:rsid w:val="194679AF"/>
    <w:rsid w:val="1948038A"/>
    <w:rsid w:val="194A66F4"/>
    <w:rsid w:val="194C08BA"/>
    <w:rsid w:val="19502F20"/>
    <w:rsid w:val="19546D47"/>
    <w:rsid w:val="19594AC8"/>
    <w:rsid w:val="19642537"/>
    <w:rsid w:val="196F7717"/>
    <w:rsid w:val="19767890"/>
    <w:rsid w:val="197E4EC9"/>
    <w:rsid w:val="19890D16"/>
    <w:rsid w:val="198A317C"/>
    <w:rsid w:val="198A5B9B"/>
    <w:rsid w:val="198E504F"/>
    <w:rsid w:val="198E7CC2"/>
    <w:rsid w:val="199123E3"/>
    <w:rsid w:val="19935571"/>
    <w:rsid w:val="199628D2"/>
    <w:rsid w:val="1997041E"/>
    <w:rsid w:val="19977F1D"/>
    <w:rsid w:val="19A055FC"/>
    <w:rsid w:val="19A259A1"/>
    <w:rsid w:val="19A47FBE"/>
    <w:rsid w:val="19A543A4"/>
    <w:rsid w:val="19A64429"/>
    <w:rsid w:val="19A9542D"/>
    <w:rsid w:val="19AD4B02"/>
    <w:rsid w:val="19AF141B"/>
    <w:rsid w:val="19B45EC6"/>
    <w:rsid w:val="19BA5E3A"/>
    <w:rsid w:val="19BC434C"/>
    <w:rsid w:val="19BF6811"/>
    <w:rsid w:val="19C22095"/>
    <w:rsid w:val="19CB0EFE"/>
    <w:rsid w:val="19D83EBC"/>
    <w:rsid w:val="19DC2EF0"/>
    <w:rsid w:val="19E01BE1"/>
    <w:rsid w:val="19E27436"/>
    <w:rsid w:val="19E90F2D"/>
    <w:rsid w:val="19EA250B"/>
    <w:rsid w:val="19ED7B68"/>
    <w:rsid w:val="19EE122F"/>
    <w:rsid w:val="19EF05E2"/>
    <w:rsid w:val="19F34D9A"/>
    <w:rsid w:val="19FA5943"/>
    <w:rsid w:val="1A020CAC"/>
    <w:rsid w:val="1A0739A1"/>
    <w:rsid w:val="1A0C0B4A"/>
    <w:rsid w:val="1A163D2A"/>
    <w:rsid w:val="1A1D412B"/>
    <w:rsid w:val="1A206E7F"/>
    <w:rsid w:val="1A2671DD"/>
    <w:rsid w:val="1A291CE9"/>
    <w:rsid w:val="1A2933F0"/>
    <w:rsid w:val="1A295ED4"/>
    <w:rsid w:val="1A2979B4"/>
    <w:rsid w:val="1A2B340C"/>
    <w:rsid w:val="1A326A5E"/>
    <w:rsid w:val="1A35314D"/>
    <w:rsid w:val="1A4351F7"/>
    <w:rsid w:val="1A477904"/>
    <w:rsid w:val="1A4D3567"/>
    <w:rsid w:val="1A574E8B"/>
    <w:rsid w:val="1A5B332D"/>
    <w:rsid w:val="1A5D418F"/>
    <w:rsid w:val="1A5E1696"/>
    <w:rsid w:val="1A671279"/>
    <w:rsid w:val="1A7412A9"/>
    <w:rsid w:val="1A746F7C"/>
    <w:rsid w:val="1A767810"/>
    <w:rsid w:val="1A795091"/>
    <w:rsid w:val="1A7C1335"/>
    <w:rsid w:val="1A7F3F3F"/>
    <w:rsid w:val="1A7F4433"/>
    <w:rsid w:val="1A84713F"/>
    <w:rsid w:val="1A8616BD"/>
    <w:rsid w:val="1A864E70"/>
    <w:rsid w:val="1A891BA3"/>
    <w:rsid w:val="1A8F4F1E"/>
    <w:rsid w:val="1A901FBE"/>
    <w:rsid w:val="1A904E3C"/>
    <w:rsid w:val="1A907D69"/>
    <w:rsid w:val="1A981D7B"/>
    <w:rsid w:val="1A991640"/>
    <w:rsid w:val="1AA33EAF"/>
    <w:rsid w:val="1AA95DF0"/>
    <w:rsid w:val="1AA964C5"/>
    <w:rsid w:val="1AAC5EBD"/>
    <w:rsid w:val="1AB64C6B"/>
    <w:rsid w:val="1AB8464E"/>
    <w:rsid w:val="1AB86D73"/>
    <w:rsid w:val="1ABE6357"/>
    <w:rsid w:val="1AC05FAA"/>
    <w:rsid w:val="1AC3134A"/>
    <w:rsid w:val="1AC41324"/>
    <w:rsid w:val="1ACF3E37"/>
    <w:rsid w:val="1AD0751C"/>
    <w:rsid w:val="1AD077D2"/>
    <w:rsid w:val="1AD24EB0"/>
    <w:rsid w:val="1AD54713"/>
    <w:rsid w:val="1AD610E7"/>
    <w:rsid w:val="1ADE5B96"/>
    <w:rsid w:val="1AE82C66"/>
    <w:rsid w:val="1AEB591C"/>
    <w:rsid w:val="1AED0842"/>
    <w:rsid w:val="1AED74F6"/>
    <w:rsid w:val="1AF879A4"/>
    <w:rsid w:val="1AFC74CB"/>
    <w:rsid w:val="1B0016C9"/>
    <w:rsid w:val="1B005F37"/>
    <w:rsid w:val="1B013713"/>
    <w:rsid w:val="1B0821D9"/>
    <w:rsid w:val="1B083805"/>
    <w:rsid w:val="1B0A3A7C"/>
    <w:rsid w:val="1B0D39BA"/>
    <w:rsid w:val="1B0D5927"/>
    <w:rsid w:val="1B10534B"/>
    <w:rsid w:val="1B134104"/>
    <w:rsid w:val="1B186A7C"/>
    <w:rsid w:val="1B1926CB"/>
    <w:rsid w:val="1B204CAA"/>
    <w:rsid w:val="1B265FC9"/>
    <w:rsid w:val="1B3A63E1"/>
    <w:rsid w:val="1B3D6F5D"/>
    <w:rsid w:val="1B3F232C"/>
    <w:rsid w:val="1B55429F"/>
    <w:rsid w:val="1B5C4B10"/>
    <w:rsid w:val="1B5F774C"/>
    <w:rsid w:val="1B6D3289"/>
    <w:rsid w:val="1B7D6CAD"/>
    <w:rsid w:val="1B8E4966"/>
    <w:rsid w:val="1B9078F4"/>
    <w:rsid w:val="1B971428"/>
    <w:rsid w:val="1B9D1CD8"/>
    <w:rsid w:val="1BA11EB8"/>
    <w:rsid w:val="1BA43A43"/>
    <w:rsid w:val="1BA65768"/>
    <w:rsid w:val="1BAD3EDE"/>
    <w:rsid w:val="1BB07692"/>
    <w:rsid w:val="1BB17B69"/>
    <w:rsid w:val="1BB2123C"/>
    <w:rsid w:val="1BBF70DC"/>
    <w:rsid w:val="1BC964FE"/>
    <w:rsid w:val="1BD40132"/>
    <w:rsid w:val="1BD40EFB"/>
    <w:rsid w:val="1BD85300"/>
    <w:rsid w:val="1BD93FE1"/>
    <w:rsid w:val="1BDA0217"/>
    <w:rsid w:val="1BE05A00"/>
    <w:rsid w:val="1BE60A89"/>
    <w:rsid w:val="1BED5DF9"/>
    <w:rsid w:val="1BF00CF9"/>
    <w:rsid w:val="1BF70226"/>
    <w:rsid w:val="1BFC4EEB"/>
    <w:rsid w:val="1C0313F0"/>
    <w:rsid w:val="1C0458EA"/>
    <w:rsid w:val="1C086588"/>
    <w:rsid w:val="1C097162"/>
    <w:rsid w:val="1C0A656E"/>
    <w:rsid w:val="1C0A7F59"/>
    <w:rsid w:val="1C0E5AF8"/>
    <w:rsid w:val="1C114C4D"/>
    <w:rsid w:val="1C16147F"/>
    <w:rsid w:val="1C176961"/>
    <w:rsid w:val="1C1C6556"/>
    <w:rsid w:val="1C23366C"/>
    <w:rsid w:val="1C2D02F8"/>
    <w:rsid w:val="1C3019B6"/>
    <w:rsid w:val="1C327EC7"/>
    <w:rsid w:val="1C4863EB"/>
    <w:rsid w:val="1C4A4C0A"/>
    <w:rsid w:val="1C4E6DE1"/>
    <w:rsid w:val="1C55783B"/>
    <w:rsid w:val="1C606999"/>
    <w:rsid w:val="1C650DE0"/>
    <w:rsid w:val="1C65681C"/>
    <w:rsid w:val="1C660846"/>
    <w:rsid w:val="1C6611FF"/>
    <w:rsid w:val="1C667A4D"/>
    <w:rsid w:val="1C733A6E"/>
    <w:rsid w:val="1C787478"/>
    <w:rsid w:val="1C7A4B33"/>
    <w:rsid w:val="1C7E582F"/>
    <w:rsid w:val="1C87286B"/>
    <w:rsid w:val="1C87533D"/>
    <w:rsid w:val="1C8854E2"/>
    <w:rsid w:val="1C8B0CC4"/>
    <w:rsid w:val="1C946042"/>
    <w:rsid w:val="1C9C1C3D"/>
    <w:rsid w:val="1C9D7804"/>
    <w:rsid w:val="1CA86F01"/>
    <w:rsid w:val="1CAA0938"/>
    <w:rsid w:val="1CAC48C5"/>
    <w:rsid w:val="1CAF26D0"/>
    <w:rsid w:val="1CB15744"/>
    <w:rsid w:val="1CC448CE"/>
    <w:rsid w:val="1CD46190"/>
    <w:rsid w:val="1CDC2916"/>
    <w:rsid w:val="1CDD2804"/>
    <w:rsid w:val="1CE00971"/>
    <w:rsid w:val="1CE43CA1"/>
    <w:rsid w:val="1CEC5A44"/>
    <w:rsid w:val="1CF13010"/>
    <w:rsid w:val="1CF370BF"/>
    <w:rsid w:val="1D030D3A"/>
    <w:rsid w:val="1D087F09"/>
    <w:rsid w:val="1D0C1DDC"/>
    <w:rsid w:val="1D0D0561"/>
    <w:rsid w:val="1D132ACA"/>
    <w:rsid w:val="1D2B0F93"/>
    <w:rsid w:val="1D2C04D0"/>
    <w:rsid w:val="1D315EEC"/>
    <w:rsid w:val="1D316B5C"/>
    <w:rsid w:val="1D320508"/>
    <w:rsid w:val="1D325F26"/>
    <w:rsid w:val="1D3E50AC"/>
    <w:rsid w:val="1D434B0A"/>
    <w:rsid w:val="1D465B6C"/>
    <w:rsid w:val="1D471F2D"/>
    <w:rsid w:val="1D4B5D41"/>
    <w:rsid w:val="1D4E285F"/>
    <w:rsid w:val="1D4E4B98"/>
    <w:rsid w:val="1D4F7EE9"/>
    <w:rsid w:val="1D517BFD"/>
    <w:rsid w:val="1D531AF1"/>
    <w:rsid w:val="1D557042"/>
    <w:rsid w:val="1D566AE3"/>
    <w:rsid w:val="1D5848DF"/>
    <w:rsid w:val="1D5A137A"/>
    <w:rsid w:val="1D6007C1"/>
    <w:rsid w:val="1D6425BA"/>
    <w:rsid w:val="1D693DEE"/>
    <w:rsid w:val="1D6A6450"/>
    <w:rsid w:val="1D6C52DC"/>
    <w:rsid w:val="1D6C751F"/>
    <w:rsid w:val="1D70796F"/>
    <w:rsid w:val="1D7917EF"/>
    <w:rsid w:val="1D7C09D6"/>
    <w:rsid w:val="1D7C7BD0"/>
    <w:rsid w:val="1D7D4C76"/>
    <w:rsid w:val="1D7F1235"/>
    <w:rsid w:val="1D855F2F"/>
    <w:rsid w:val="1D8F18F8"/>
    <w:rsid w:val="1D9131C0"/>
    <w:rsid w:val="1D9259FC"/>
    <w:rsid w:val="1D932CF5"/>
    <w:rsid w:val="1D9460DE"/>
    <w:rsid w:val="1DA84041"/>
    <w:rsid w:val="1DA93265"/>
    <w:rsid w:val="1DA96CDC"/>
    <w:rsid w:val="1DAF513F"/>
    <w:rsid w:val="1DB33C53"/>
    <w:rsid w:val="1DB447C8"/>
    <w:rsid w:val="1DB80A24"/>
    <w:rsid w:val="1DBF1E64"/>
    <w:rsid w:val="1DC1491C"/>
    <w:rsid w:val="1DCC31D5"/>
    <w:rsid w:val="1DCC499B"/>
    <w:rsid w:val="1DD16DAA"/>
    <w:rsid w:val="1DD60645"/>
    <w:rsid w:val="1DD95E1B"/>
    <w:rsid w:val="1DE071F3"/>
    <w:rsid w:val="1DF25E52"/>
    <w:rsid w:val="1DF62D17"/>
    <w:rsid w:val="1DF93C8F"/>
    <w:rsid w:val="1DFF5A71"/>
    <w:rsid w:val="1E03278E"/>
    <w:rsid w:val="1E09388F"/>
    <w:rsid w:val="1E0A63E5"/>
    <w:rsid w:val="1E0B21F5"/>
    <w:rsid w:val="1E0B3CFF"/>
    <w:rsid w:val="1E0B7097"/>
    <w:rsid w:val="1E122944"/>
    <w:rsid w:val="1E167FA6"/>
    <w:rsid w:val="1E1A488E"/>
    <w:rsid w:val="1E1E2ADB"/>
    <w:rsid w:val="1E253531"/>
    <w:rsid w:val="1E267E84"/>
    <w:rsid w:val="1E291941"/>
    <w:rsid w:val="1E2B5964"/>
    <w:rsid w:val="1E300851"/>
    <w:rsid w:val="1E301FEE"/>
    <w:rsid w:val="1E343DC7"/>
    <w:rsid w:val="1E366E45"/>
    <w:rsid w:val="1E3C5518"/>
    <w:rsid w:val="1E3E45C2"/>
    <w:rsid w:val="1E3E62A6"/>
    <w:rsid w:val="1E4059E9"/>
    <w:rsid w:val="1E4421BA"/>
    <w:rsid w:val="1E49220A"/>
    <w:rsid w:val="1E4D6A6C"/>
    <w:rsid w:val="1E5554D9"/>
    <w:rsid w:val="1E5D4FE3"/>
    <w:rsid w:val="1E6900A7"/>
    <w:rsid w:val="1E725D58"/>
    <w:rsid w:val="1E750784"/>
    <w:rsid w:val="1E7D557D"/>
    <w:rsid w:val="1E8209D7"/>
    <w:rsid w:val="1E8A3684"/>
    <w:rsid w:val="1E8B6141"/>
    <w:rsid w:val="1E912F39"/>
    <w:rsid w:val="1E941393"/>
    <w:rsid w:val="1E974386"/>
    <w:rsid w:val="1E994431"/>
    <w:rsid w:val="1EA31D3F"/>
    <w:rsid w:val="1EA51FFC"/>
    <w:rsid w:val="1EA668DD"/>
    <w:rsid w:val="1EA96187"/>
    <w:rsid w:val="1EAD4715"/>
    <w:rsid w:val="1EB772BC"/>
    <w:rsid w:val="1EB85929"/>
    <w:rsid w:val="1EBF4CD5"/>
    <w:rsid w:val="1ECE1B03"/>
    <w:rsid w:val="1ECE723E"/>
    <w:rsid w:val="1ED55822"/>
    <w:rsid w:val="1EE74186"/>
    <w:rsid w:val="1EE82B1F"/>
    <w:rsid w:val="1EE83BBB"/>
    <w:rsid w:val="1EEA0B27"/>
    <w:rsid w:val="1EEC1AE0"/>
    <w:rsid w:val="1EEC3E9A"/>
    <w:rsid w:val="1EF47C22"/>
    <w:rsid w:val="1EFB41E9"/>
    <w:rsid w:val="1EFC7CD3"/>
    <w:rsid w:val="1F030A54"/>
    <w:rsid w:val="1F0A6660"/>
    <w:rsid w:val="1F113D7D"/>
    <w:rsid w:val="1F155E7F"/>
    <w:rsid w:val="1F1A0620"/>
    <w:rsid w:val="1F1B3A11"/>
    <w:rsid w:val="1F2D7DE6"/>
    <w:rsid w:val="1F2E587C"/>
    <w:rsid w:val="1F3965C5"/>
    <w:rsid w:val="1F3F7CB8"/>
    <w:rsid w:val="1F403DDC"/>
    <w:rsid w:val="1F4446D7"/>
    <w:rsid w:val="1F454DA9"/>
    <w:rsid w:val="1F477D89"/>
    <w:rsid w:val="1F487569"/>
    <w:rsid w:val="1F504A65"/>
    <w:rsid w:val="1F507664"/>
    <w:rsid w:val="1F544B9B"/>
    <w:rsid w:val="1F5E5154"/>
    <w:rsid w:val="1F6037D1"/>
    <w:rsid w:val="1F61588F"/>
    <w:rsid w:val="1F632E27"/>
    <w:rsid w:val="1F637F5A"/>
    <w:rsid w:val="1F6D5577"/>
    <w:rsid w:val="1F6F4D2C"/>
    <w:rsid w:val="1F7232F8"/>
    <w:rsid w:val="1F764C52"/>
    <w:rsid w:val="1F7C64ED"/>
    <w:rsid w:val="1F802382"/>
    <w:rsid w:val="1F833875"/>
    <w:rsid w:val="1F9A7DD3"/>
    <w:rsid w:val="1FA35CF7"/>
    <w:rsid w:val="1FAA54F7"/>
    <w:rsid w:val="1FB234B9"/>
    <w:rsid w:val="1FB966AC"/>
    <w:rsid w:val="1FCD474B"/>
    <w:rsid w:val="1FD16A33"/>
    <w:rsid w:val="1FD840A8"/>
    <w:rsid w:val="1FE91010"/>
    <w:rsid w:val="1FEA7C4D"/>
    <w:rsid w:val="1FED0EE5"/>
    <w:rsid w:val="1FED1708"/>
    <w:rsid w:val="1FF00B32"/>
    <w:rsid w:val="1FF4310A"/>
    <w:rsid w:val="1FF70657"/>
    <w:rsid w:val="200033F5"/>
    <w:rsid w:val="20072690"/>
    <w:rsid w:val="20074038"/>
    <w:rsid w:val="200A7622"/>
    <w:rsid w:val="200E03D3"/>
    <w:rsid w:val="200F45A3"/>
    <w:rsid w:val="201629C6"/>
    <w:rsid w:val="20173126"/>
    <w:rsid w:val="20256BF3"/>
    <w:rsid w:val="202904CB"/>
    <w:rsid w:val="202A66BB"/>
    <w:rsid w:val="202E1138"/>
    <w:rsid w:val="202E7722"/>
    <w:rsid w:val="20325E0C"/>
    <w:rsid w:val="203971E9"/>
    <w:rsid w:val="203F1315"/>
    <w:rsid w:val="204B6316"/>
    <w:rsid w:val="204C7C1A"/>
    <w:rsid w:val="204D6F97"/>
    <w:rsid w:val="20507F06"/>
    <w:rsid w:val="20594BEA"/>
    <w:rsid w:val="205D4887"/>
    <w:rsid w:val="20636415"/>
    <w:rsid w:val="207A7253"/>
    <w:rsid w:val="207D2005"/>
    <w:rsid w:val="208916D3"/>
    <w:rsid w:val="208C58CE"/>
    <w:rsid w:val="2092239D"/>
    <w:rsid w:val="209A2749"/>
    <w:rsid w:val="209C395F"/>
    <w:rsid w:val="209C3EAA"/>
    <w:rsid w:val="209F6049"/>
    <w:rsid w:val="20A80AEF"/>
    <w:rsid w:val="20B45672"/>
    <w:rsid w:val="20B5033C"/>
    <w:rsid w:val="20B863FE"/>
    <w:rsid w:val="20BB4E88"/>
    <w:rsid w:val="20BB5F07"/>
    <w:rsid w:val="20C03C60"/>
    <w:rsid w:val="20C215F3"/>
    <w:rsid w:val="20C976CD"/>
    <w:rsid w:val="20CA278B"/>
    <w:rsid w:val="20D50E20"/>
    <w:rsid w:val="20DB4340"/>
    <w:rsid w:val="20EB2066"/>
    <w:rsid w:val="20EF51C8"/>
    <w:rsid w:val="20F13F32"/>
    <w:rsid w:val="20F453F7"/>
    <w:rsid w:val="20F54434"/>
    <w:rsid w:val="20F627FE"/>
    <w:rsid w:val="20F81429"/>
    <w:rsid w:val="20FE48A8"/>
    <w:rsid w:val="20FE4BBD"/>
    <w:rsid w:val="21003A34"/>
    <w:rsid w:val="2103608A"/>
    <w:rsid w:val="210F68A1"/>
    <w:rsid w:val="21156B41"/>
    <w:rsid w:val="211D790C"/>
    <w:rsid w:val="2120090B"/>
    <w:rsid w:val="212815C7"/>
    <w:rsid w:val="212D0011"/>
    <w:rsid w:val="21315C47"/>
    <w:rsid w:val="213542E9"/>
    <w:rsid w:val="213B5D42"/>
    <w:rsid w:val="213D76B7"/>
    <w:rsid w:val="2143203B"/>
    <w:rsid w:val="2143692E"/>
    <w:rsid w:val="21452AE2"/>
    <w:rsid w:val="2148417B"/>
    <w:rsid w:val="214A277A"/>
    <w:rsid w:val="21521A6E"/>
    <w:rsid w:val="21553ADF"/>
    <w:rsid w:val="21580349"/>
    <w:rsid w:val="215F24F2"/>
    <w:rsid w:val="215F56B2"/>
    <w:rsid w:val="216C6B87"/>
    <w:rsid w:val="2175003E"/>
    <w:rsid w:val="2175149D"/>
    <w:rsid w:val="217A71B3"/>
    <w:rsid w:val="21830FF3"/>
    <w:rsid w:val="218414ED"/>
    <w:rsid w:val="218F158A"/>
    <w:rsid w:val="219354AA"/>
    <w:rsid w:val="21950682"/>
    <w:rsid w:val="2196788C"/>
    <w:rsid w:val="219B271D"/>
    <w:rsid w:val="219E3E3D"/>
    <w:rsid w:val="219F16C7"/>
    <w:rsid w:val="21A96958"/>
    <w:rsid w:val="21AB075D"/>
    <w:rsid w:val="21AC0E6A"/>
    <w:rsid w:val="21B34081"/>
    <w:rsid w:val="21B76CF4"/>
    <w:rsid w:val="21BC401D"/>
    <w:rsid w:val="21BF1C5A"/>
    <w:rsid w:val="21C452DC"/>
    <w:rsid w:val="21CC7D65"/>
    <w:rsid w:val="21CE5A08"/>
    <w:rsid w:val="21D42622"/>
    <w:rsid w:val="21D51DF1"/>
    <w:rsid w:val="21DC4656"/>
    <w:rsid w:val="21E5678C"/>
    <w:rsid w:val="21E8009D"/>
    <w:rsid w:val="21EC66F9"/>
    <w:rsid w:val="21F27385"/>
    <w:rsid w:val="21F80754"/>
    <w:rsid w:val="221500FE"/>
    <w:rsid w:val="22160E61"/>
    <w:rsid w:val="22170083"/>
    <w:rsid w:val="221924B2"/>
    <w:rsid w:val="221E4044"/>
    <w:rsid w:val="222E4B36"/>
    <w:rsid w:val="222F05E6"/>
    <w:rsid w:val="22335E59"/>
    <w:rsid w:val="22447536"/>
    <w:rsid w:val="224744C4"/>
    <w:rsid w:val="224B0DB4"/>
    <w:rsid w:val="22550A45"/>
    <w:rsid w:val="22557061"/>
    <w:rsid w:val="22583396"/>
    <w:rsid w:val="225D34FD"/>
    <w:rsid w:val="22633C26"/>
    <w:rsid w:val="22663911"/>
    <w:rsid w:val="226A1DE5"/>
    <w:rsid w:val="226D0C21"/>
    <w:rsid w:val="226F2BB2"/>
    <w:rsid w:val="22721973"/>
    <w:rsid w:val="22721E20"/>
    <w:rsid w:val="22796A25"/>
    <w:rsid w:val="22882272"/>
    <w:rsid w:val="229F5B62"/>
    <w:rsid w:val="22A470B5"/>
    <w:rsid w:val="22AC6B16"/>
    <w:rsid w:val="22B80B17"/>
    <w:rsid w:val="22B90065"/>
    <w:rsid w:val="22BB51F8"/>
    <w:rsid w:val="22C03051"/>
    <w:rsid w:val="22C56511"/>
    <w:rsid w:val="22C715DD"/>
    <w:rsid w:val="22CC1BC1"/>
    <w:rsid w:val="22CF79CB"/>
    <w:rsid w:val="22D030BB"/>
    <w:rsid w:val="22D25F3B"/>
    <w:rsid w:val="22D6669B"/>
    <w:rsid w:val="22DE51F5"/>
    <w:rsid w:val="22E047A1"/>
    <w:rsid w:val="22E36089"/>
    <w:rsid w:val="22E8566B"/>
    <w:rsid w:val="22EA6268"/>
    <w:rsid w:val="22EA7FB3"/>
    <w:rsid w:val="22ED1151"/>
    <w:rsid w:val="22EF3AA1"/>
    <w:rsid w:val="22F0339E"/>
    <w:rsid w:val="22F260B3"/>
    <w:rsid w:val="23014B3D"/>
    <w:rsid w:val="23075061"/>
    <w:rsid w:val="230A64F4"/>
    <w:rsid w:val="2314181E"/>
    <w:rsid w:val="2317727F"/>
    <w:rsid w:val="232020A5"/>
    <w:rsid w:val="23247DA8"/>
    <w:rsid w:val="23263DF4"/>
    <w:rsid w:val="232A727C"/>
    <w:rsid w:val="233072E9"/>
    <w:rsid w:val="23312C2E"/>
    <w:rsid w:val="23341961"/>
    <w:rsid w:val="233D00E7"/>
    <w:rsid w:val="233F4DCF"/>
    <w:rsid w:val="23434E07"/>
    <w:rsid w:val="23451D8D"/>
    <w:rsid w:val="23485BD1"/>
    <w:rsid w:val="23510955"/>
    <w:rsid w:val="23550E3B"/>
    <w:rsid w:val="2358023D"/>
    <w:rsid w:val="235B2206"/>
    <w:rsid w:val="235B5D92"/>
    <w:rsid w:val="235F75E7"/>
    <w:rsid w:val="23607971"/>
    <w:rsid w:val="237259C6"/>
    <w:rsid w:val="23727A3F"/>
    <w:rsid w:val="23776603"/>
    <w:rsid w:val="237A6D5C"/>
    <w:rsid w:val="237C5EFB"/>
    <w:rsid w:val="237F1315"/>
    <w:rsid w:val="237F27A7"/>
    <w:rsid w:val="23837756"/>
    <w:rsid w:val="238D0AEC"/>
    <w:rsid w:val="238F1F09"/>
    <w:rsid w:val="239405B7"/>
    <w:rsid w:val="23996EAA"/>
    <w:rsid w:val="239D4430"/>
    <w:rsid w:val="239F25A7"/>
    <w:rsid w:val="23A63296"/>
    <w:rsid w:val="23A856CF"/>
    <w:rsid w:val="23A91586"/>
    <w:rsid w:val="23AA4313"/>
    <w:rsid w:val="23AB04CC"/>
    <w:rsid w:val="23AB0E53"/>
    <w:rsid w:val="23AF1651"/>
    <w:rsid w:val="23AF45AC"/>
    <w:rsid w:val="23BC401C"/>
    <w:rsid w:val="23C03042"/>
    <w:rsid w:val="23C228CA"/>
    <w:rsid w:val="23C47EE0"/>
    <w:rsid w:val="23C97F42"/>
    <w:rsid w:val="23CB2FC5"/>
    <w:rsid w:val="23D07021"/>
    <w:rsid w:val="23DA4E5D"/>
    <w:rsid w:val="23DC78BC"/>
    <w:rsid w:val="23E64F34"/>
    <w:rsid w:val="23E75469"/>
    <w:rsid w:val="23EC2899"/>
    <w:rsid w:val="23EE1A0B"/>
    <w:rsid w:val="23EE32CE"/>
    <w:rsid w:val="23F650B1"/>
    <w:rsid w:val="240050CB"/>
    <w:rsid w:val="24086D79"/>
    <w:rsid w:val="240F66A9"/>
    <w:rsid w:val="24107D2B"/>
    <w:rsid w:val="241157A7"/>
    <w:rsid w:val="24191D8F"/>
    <w:rsid w:val="241F1881"/>
    <w:rsid w:val="24203F17"/>
    <w:rsid w:val="242148AF"/>
    <w:rsid w:val="243D017A"/>
    <w:rsid w:val="24444FD4"/>
    <w:rsid w:val="24464871"/>
    <w:rsid w:val="244A34E7"/>
    <w:rsid w:val="245D17E8"/>
    <w:rsid w:val="24696713"/>
    <w:rsid w:val="246F7D44"/>
    <w:rsid w:val="24706349"/>
    <w:rsid w:val="24711307"/>
    <w:rsid w:val="24754CB4"/>
    <w:rsid w:val="247A0B6D"/>
    <w:rsid w:val="24821C44"/>
    <w:rsid w:val="24822A2F"/>
    <w:rsid w:val="248A1D6B"/>
    <w:rsid w:val="248B587E"/>
    <w:rsid w:val="248D1D37"/>
    <w:rsid w:val="24962F88"/>
    <w:rsid w:val="24965CCD"/>
    <w:rsid w:val="24992F68"/>
    <w:rsid w:val="249D6F0E"/>
    <w:rsid w:val="24A03D43"/>
    <w:rsid w:val="24A24B4A"/>
    <w:rsid w:val="24AB13AF"/>
    <w:rsid w:val="24AB6028"/>
    <w:rsid w:val="24AD1DFB"/>
    <w:rsid w:val="24B10DC1"/>
    <w:rsid w:val="24B22A0D"/>
    <w:rsid w:val="24B331B5"/>
    <w:rsid w:val="24B37F87"/>
    <w:rsid w:val="24B94F60"/>
    <w:rsid w:val="24BE00A1"/>
    <w:rsid w:val="24C80E72"/>
    <w:rsid w:val="24D264D0"/>
    <w:rsid w:val="24D8775D"/>
    <w:rsid w:val="24DC520B"/>
    <w:rsid w:val="24DE25AB"/>
    <w:rsid w:val="24E5269B"/>
    <w:rsid w:val="24EE263C"/>
    <w:rsid w:val="24EF13F1"/>
    <w:rsid w:val="24F978B1"/>
    <w:rsid w:val="24FA10BC"/>
    <w:rsid w:val="24FE3045"/>
    <w:rsid w:val="250333BB"/>
    <w:rsid w:val="250907A3"/>
    <w:rsid w:val="250D00F8"/>
    <w:rsid w:val="250F7F17"/>
    <w:rsid w:val="25170437"/>
    <w:rsid w:val="251B6D90"/>
    <w:rsid w:val="251E725C"/>
    <w:rsid w:val="25261539"/>
    <w:rsid w:val="25285778"/>
    <w:rsid w:val="252B3115"/>
    <w:rsid w:val="252E0B34"/>
    <w:rsid w:val="253009E7"/>
    <w:rsid w:val="25314B2C"/>
    <w:rsid w:val="253709F7"/>
    <w:rsid w:val="253D75BE"/>
    <w:rsid w:val="253E1721"/>
    <w:rsid w:val="25431853"/>
    <w:rsid w:val="254546F8"/>
    <w:rsid w:val="254876B3"/>
    <w:rsid w:val="255513D2"/>
    <w:rsid w:val="255A50C8"/>
    <w:rsid w:val="255B49B3"/>
    <w:rsid w:val="255C1932"/>
    <w:rsid w:val="255E294F"/>
    <w:rsid w:val="25692DFE"/>
    <w:rsid w:val="256D6BF2"/>
    <w:rsid w:val="257803EE"/>
    <w:rsid w:val="257D18E3"/>
    <w:rsid w:val="258251CA"/>
    <w:rsid w:val="25874CB7"/>
    <w:rsid w:val="258A7CED"/>
    <w:rsid w:val="258C615A"/>
    <w:rsid w:val="259431DD"/>
    <w:rsid w:val="25956522"/>
    <w:rsid w:val="25962013"/>
    <w:rsid w:val="25976F1C"/>
    <w:rsid w:val="25995069"/>
    <w:rsid w:val="259D1CF8"/>
    <w:rsid w:val="259D4784"/>
    <w:rsid w:val="259F5C22"/>
    <w:rsid w:val="25A2698E"/>
    <w:rsid w:val="25A35665"/>
    <w:rsid w:val="25A370D8"/>
    <w:rsid w:val="25A642E7"/>
    <w:rsid w:val="25A659B8"/>
    <w:rsid w:val="25AE4BB6"/>
    <w:rsid w:val="25B01C96"/>
    <w:rsid w:val="25BA5FD6"/>
    <w:rsid w:val="25BC5A7D"/>
    <w:rsid w:val="25C338EC"/>
    <w:rsid w:val="25C613D4"/>
    <w:rsid w:val="25C722A0"/>
    <w:rsid w:val="25C93D16"/>
    <w:rsid w:val="25CA4650"/>
    <w:rsid w:val="25D03D3D"/>
    <w:rsid w:val="25D242AC"/>
    <w:rsid w:val="25D2700D"/>
    <w:rsid w:val="25D37D50"/>
    <w:rsid w:val="25D4327A"/>
    <w:rsid w:val="25D67F69"/>
    <w:rsid w:val="25DE7808"/>
    <w:rsid w:val="25E327EF"/>
    <w:rsid w:val="25E6527D"/>
    <w:rsid w:val="25F67CD3"/>
    <w:rsid w:val="26040C06"/>
    <w:rsid w:val="26197FFF"/>
    <w:rsid w:val="261B5B78"/>
    <w:rsid w:val="261B6EC1"/>
    <w:rsid w:val="262D5251"/>
    <w:rsid w:val="2633043C"/>
    <w:rsid w:val="26340AC3"/>
    <w:rsid w:val="264A3E95"/>
    <w:rsid w:val="264B1ACA"/>
    <w:rsid w:val="264B40C7"/>
    <w:rsid w:val="26564BED"/>
    <w:rsid w:val="2656623A"/>
    <w:rsid w:val="2659575B"/>
    <w:rsid w:val="2663123F"/>
    <w:rsid w:val="266339E8"/>
    <w:rsid w:val="266D7FD5"/>
    <w:rsid w:val="26725883"/>
    <w:rsid w:val="26737526"/>
    <w:rsid w:val="267B6EC2"/>
    <w:rsid w:val="26872E00"/>
    <w:rsid w:val="268A2240"/>
    <w:rsid w:val="26916DB8"/>
    <w:rsid w:val="269837EF"/>
    <w:rsid w:val="269D43C2"/>
    <w:rsid w:val="26A527E1"/>
    <w:rsid w:val="26A84125"/>
    <w:rsid w:val="26AF7EB1"/>
    <w:rsid w:val="26B8558F"/>
    <w:rsid w:val="26C03942"/>
    <w:rsid w:val="26CC5F73"/>
    <w:rsid w:val="26CF27C0"/>
    <w:rsid w:val="26CF63D9"/>
    <w:rsid w:val="26D07CC0"/>
    <w:rsid w:val="26D82E82"/>
    <w:rsid w:val="26D9017F"/>
    <w:rsid w:val="26F0116E"/>
    <w:rsid w:val="27007DB1"/>
    <w:rsid w:val="27023FD8"/>
    <w:rsid w:val="270268FC"/>
    <w:rsid w:val="27115F5E"/>
    <w:rsid w:val="271438F4"/>
    <w:rsid w:val="27181BBE"/>
    <w:rsid w:val="272201E2"/>
    <w:rsid w:val="2726557A"/>
    <w:rsid w:val="27321F5C"/>
    <w:rsid w:val="273E15AB"/>
    <w:rsid w:val="274159F7"/>
    <w:rsid w:val="27470345"/>
    <w:rsid w:val="27492EA8"/>
    <w:rsid w:val="274B09CE"/>
    <w:rsid w:val="275269EE"/>
    <w:rsid w:val="27576E44"/>
    <w:rsid w:val="276010D4"/>
    <w:rsid w:val="27614F78"/>
    <w:rsid w:val="27653B8D"/>
    <w:rsid w:val="276B0663"/>
    <w:rsid w:val="276C47FF"/>
    <w:rsid w:val="277973C8"/>
    <w:rsid w:val="27880564"/>
    <w:rsid w:val="27883D7D"/>
    <w:rsid w:val="278C4BFF"/>
    <w:rsid w:val="278E5245"/>
    <w:rsid w:val="279025EE"/>
    <w:rsid w:val="27924A6D"/>
    <w:rsid w:val="279E3CC1"/>
    <w:rsid w:val="27A45A7E"/>
    <w:rsid w:val="27AA4362"/>
    <w:rsid w:val="27AF12EF"/>
    <w:rsid w:val="27B47525"/>
    <w:rsid w:val="27BE289A"/>
    <w:rsid w:val="27BE4CB5"/>
    <w:rsid w:val="27BF67BA"/>
    <w:rsid w:val="27C60A21"/>
    <w:rsid w:val="27D021D8"/>
    <w:rsid w:val="27D54E77"/>
    <w:rsid w:val="27D84549"/>
    <w:rsid w:val="27DE1BFF"/>
    <w:rsid w:val="27E44357"/>
    <w:rsid w:val="27E766A7"/>
    <w:rsid w:val="27EA32D3"/>
    <w:rsid w:val="27F22F77"/>
    <w:rsid w:val="27F34EE4"/>
    <w:rsid w:val="27F75AC8"/>
    <w:rsid w:val="27F9211D"/>
    <w:rsid w:val="27FE07F9"/>
    <w:rsid w:val="280043D0"/>
    <w:rsid w:val="280B0675"/>
    <w:rsid w:val="280E125B"/>
    <w:rsid w:val="280F0B82"/>
    <w:rsid w:val="28214635"/>
    <w:rsid w:val="282928B7"/>
    <w:rsid w:val="28296666"/>
    <w:rsid w:val="282F5502"/>
    <w:rsid w:val="283257B8"/>
    <w:rsid w:val="28336351"/>
    <w:rsid w:val="283A2E58"/>
    <w:rsid w:val="28410CFF"/>
    <w:rsid w:val="284D26F7"/>
    <w:rsid w:val="284D37AD"/>
    <w:rsid w:val="28532EFE"/>
    <w:rsid w:val="285C147D"/>
    <w:rsid w:val="285D6C2F"/>
    <w:rsid w:val="28607CE1"/>
    <w:rsid w:val="286606B2"/>
    <w:rsid w:val="286F63D7"/>
    <w:rsid w:val="28760303"/>
    <w:rsid w:val="287B4553"/>
    <w:rsid w:val="2884313F"/>
    <w:rsid w:val="288956F5"/>
    <w:rsid w:val="288D263D"/>
    <w:rsid w:val="28931C39"/>
    <w:rsid w:val="28953D90"/>
    <w:rsid w:val="28954BFC"/>
    <w:rsid w:val="28994190"/>
    <w:rsid w:val="28A62874"/>
    <w:rsid w:val="28A66A75"/>
    <w:rsid w:val="28A7347C"/>
    <w:rsid w:val="28A9531B"/>
    <w:rsid w:val="28A95880"/>
    <w:rsid w:val="28B30B5A"/>
    <w:rsid w:val="28BB456A"/>
    <w:rsid w:val="28BC1249"/>
    <w:rsid w:val="28BC55B3"/>
    <w:rsid w:val="28BD2608"/>
    <w:rsid w:val="28BF59E6"/>
    <w:rsid w:val="28C8733F"/>
    <w:rsid w:val="28D217AA"/>
    <w:rsid w:val="28D56FEF"/>
    <w:rsid w:val="28D773A2"/>
    <w:rsid w:val="28E069B4"/>
    <w:rsid w:val="28E17E2C"/>
    <w:rsid w:val="28E44161"/>
    <w:rsid w:val="28E474F2"/>
    <w:rsid w:val="28F13785"/>
    <w:rsid w:val="28F333F3"/>
    <w:rsid w:val="28F51632"/>
    <w:rsid w:val="28FA1728"/>
    <w:rsid w:val="28FB61AA"/>
    <w:rsid w:val="28FC2E4B"/>
    <w:rsid w:val="29046B1A"/>
    <w:rsid w:val="29070F98"/>
    <w:rsid w:val="29095C32"/>
    <w:rsid w:val="2911001D"/>
    <w:rsid w:val="291671BE"/>
    <w:rsid w:val="291A2BA6"/>
    <w:rsid w:val="291E162B"/>
    <w:rsid w:val="292C346D"/>
    <w:rsid w:val="292D2974"/>
    <w:rsid w:val="292E488D"/>
    <w:rsid w:val="2932177F"/>
    <w:rsid w:val="29362D60"/>
    <w:rsid w:val="293B4237"/>
    <w:rsid w:val="293B6623"/>
    <w:rsid w:val="293C4A53"/>
    <w:rsid w:val="294438A1"/>
    <w:rsid w:val="29473510"/>
    <w:rsid w:val="29473AA4"/>
    <w:rsid w:val="294C3727"/>
    <w:rsid w:val="294F67CF"/>
    <w:rsid w:val="295072ED"/>
    <w:rsid w:val="29516A9C"/>
    <w:rsid w:val="29521310"/>
    <w:rsid w:val="295439EA"/>
    <w:rsid w:val="29577D0C"/>
    <w:rsid w:val="29583C31"/>
    <w:rsid w:val="295C041A"/>
    <w:rsid w:val="2961437A"/>
    <w:rsid w:val="2972757D"/>
    <w:rsid w:val="29752514"/>
    <w:rsid w:val="2978500B"/>
    <w:rsid w:val="29797898"/>
    <w:rsid w:val="297C0BDF"/>
    <w:rsid w:val="297E42BA"/>
    <w:rsid w:val="298201B8"/>
    <w:rsid w:val="2994256E"/>
    <w:rsid w:val="299B07C3"/>
    <w:rsid w:val="29A54BB2"/>
    <w:rsid w:val="29A57939"/>
    <w:rsid w:val="29A646F0"/>
    <w:rsid w:val="29AB7532"/>
    <w:rsid w:val="29AC64D3"/>
    <w:rsid w:val="29B508BB"/>
    <w:rsid w:val="29B772EE"/>
    <w:rsid w:val="29B92117"/>
    <w:rsid w:val="29BA686E"/>
    <w:rsid w:val="29BD4006"/>
    <w:rsid w:val="29BF0A4A"/>
    <w:rsid w:val="29C71E69"/>
    <w:rsid w:val="29CA48E3"/>
    <w:rsid w:val="29CB4F0A"/>
    <w:rsid w:val="29E705C4"/>
    <w:rsid w:val="29E95E36"/>
    <w:rsid w:val="29F6357B"/>
    <w:rsid w:val="29F64D54"/>
    <w:rsid w:val="2A0011E1"/>
    <w:rsid w:val="2A056239"/>
    <w:rsid w:val="2A0D3CE8"/>
    <w:rsid w:val="2A11757B"/>
    <w:rsid w:val="2A127934"/>
    <w:rsid w:val="2A173EF4"/>
    <w:rsid w:val="2A1B7318"/>
    <w:rsid w:val="2A3A1B22"/>
    <w:rsid w:val="2A3B3E69"/>
    <w:rsid w:val="2A3F15E1"/>
    <w:rsid w:val="2A451545"/>
    <w:rsid w:val="2A467378"/>
    <w:rsid w:val="2A4705EA"/>
    <w:rsid w:val="2A4B11DF"/>
    <w:rsid w:val="2A4F54C7"/>
    <w:rsid w:val="2A6E2A78"/>
    <w:rsid w:val="2A737DA4"/>
    <w:rsid w:val="2A7C3E7B"/>
    <w:rsid w:val="2A7D56C7"/>
    <w:rsid w:val="2A8050E9"/>
    <w:rsid w:val="2A805538"/>
    <w:rsid w:val="2A917182"/>
    <w:rsid w:val="2A920759"/>
    <w:rsid w:val="2A974BCB"/>
    <w:rsid w:val="2A9C49E4"/>
    <w:rsid w:val="2AA73DA7"/>
    <w:rsid w:val="2AB06AEF"/>
    <w:rsid w:val="2AB90F00"/>
    <w:rsid w:val="2ABB429B"/>
    <w:rsid w:val="2AC175B9"/>
    <w:rsid w:val="2AC31C45"/>
    <w:rsid w:val="2AC64A5F"/>
    <w:rsid w:val="2AC9741F"/>
    <w:rsid w:val="2ADA1FD1"/>
    <w:rsid w:val="2AE020A3"/>
    <w:rsid w:val="2AF012D3"/>
    <w:rsid w:val="2AFA5225"/>
    <w:rsid w:val="2B056378"/>
    <w:rsid w:val="2B0758FE"/>
    <w:rsid w:val="2B08119A"/>
    <w:rsid w:val="2B085178"/>
    <w:rsid w:val="2B090250"/>
    <w:rsid w:val="2B0B1C38"/>
    <w:rsid w:val="2B200A00"/>
    <w:rsid w:val="2B227650"/>
    <w:rsid w:val="2B242041"/>
    <w:rsid w:val="2B2C0F2C"/>
    <w:rsid w:val="2B2C22C2"/>
    <w:rsid w:val="2B2D65DC"/>
    <w:rsid w:val="2B2E7DBC"/>
    <w:rsid w:val="2B302D1A"/>
    <w:rsid w:val="2B315CB1"/>
    <w:rsid w:val="2B321E0D"/>
    <w:rsid w:val="2B400B63"/>
    <w:rsid w:val="2B4564CE"/>
    <w:rsid w:val="2B67701C"/>
    <w:rsid w:val="2B683E0A"/>
    <w:rsid w:val="2B696B3A"/>
    <w:rsid w:val="2B6A480A"/>
    <w:rsid w:val="2B730BFC"/>
    <w:rsid w:val="2B754A48"/>
    <w:rsid w:val="2B77462E"/>
    <w:rsid w:val="2B79314A"/>
    <w:rsid w:val="2B8701B3"/>
    <w:rsid w:val="2B8B558C"/>
    <w:rsid w:val="2B990220"/>
    <w:rsid w:val="2B9C527E"/>
    <w:rsid w:val="2BA07465"/>
    <w:rsid w:val="2BA56072"/>
    <w:rsid w:val="2BA62DB5"/>
    <w:rsid w:val="2BA90775"/>
    <w:rsid w:val="2BB259E6"/>
    <w:rsid w:val="2BB404F2"/>
    <w:rsid w:val="2BB74F47"/>
    <w:rsid w:val="2BBD5A31"/>
    <w:rsid w:val="2BC636A5"/>
    <w:rsid w:val="2BCA539C"/>
    <w:rsid w:val="2BD3485D"/>
    <w:rsid w:val="2BD70D04"/>
    <w:rsid w:val="2BDA15AC"/>
    <w:rsid w:val="2BEA572B"/>
    <w:rsid w:val="2BEF1332"/>
    <w:rsid w:val="2BF37482"/>
    <w:rsid w:val="2BFD1C9F"/>
    <w:rsid w:val="2BFE6336"/>
    <w:rsid w:val="2C014C9D"/>
    <w:rsid w:val="2C04740C"/>
    <w:rsid w:val="2C0504F8"/>
    <w:rsid w:val="2C0577B1"/>
    <w:rsid w:val="2C065B95"/>
    <w:rsid w:val="2C1E5A47"/>
    <w:rsid w:val="2C277821"/>
    <w:rsid w:val="2C2E04EC"/>
    <w:rsid w:val="2C311769"/>
    <w:rsid w:val="2C3559AC"/>
    <w:rsid w:val="2C3646C1"/>
    <w:rsid w:val="2C433E00"/>
    <w:rsid w:val="2C436D28"/>
    <w:rsid w:val="2C496564"/>
    <w:rsid w:val="2C4A654B"/>
    <w:rsid w:val="2C4D619A"/>
    <w:rsid w:val="2C501603"/>
    <w:rsid w:val="2C56735D"/>
    <w:rsid w:val="2C5B1458"/>
    <w:rsid w:val="2C5F3E2E"/>
    <w:rsid w:val="2C617C53"/>
    <w:rsid w:val="2C624DD3"/>
    <w:rsid w:val="2C64282F"/>
    <w:rsid w:val="2C667518"/>
    <w:rsid w:val="2C682011"/>
    <w:rsid w:val="2C7631D7"/>
    <w:rsid w:val="2C790296"/>
    <w:rsid w:val="2C7B4B5D"/>
    <w:rsid w:val="2C7E7AD5"/>
    <w:rsid w:val="2C816FF8"/>
    <w:rsid w:val="2C8928F0"/>
    <w:rsid w:val="2C8C31C6"/>
    <w:rsid w:val="2C9119FB"/>
    <w:rsid w:val="2C923F36"/>
    <w:rsid w:val="2C93579A"/>
    <w:rsid w:val="2C961AF8"/>
    <w:rsid w:val="2C9756BF"/>
    <w:rsid w:val="2CA867F5"/>
    <w:rsid w:val="2CAD5B03"/>
    <w:rsid w:val="2CAE3B13"/>
    <w:rsid w:val="2CAF788B"/>
    <w:rsid w:val="2CB32173"/>
    <w:rsid w:val="2CC149EF"/>
    <w:rsid w:val="2CC708B0"/>
    <w:rsid w:val="2CCB0B34"/>
    <w:rsid w:val="2CCF654A"/>
    <w:rsid w:val="2CD37602"/>
    <w:rsid w:val="2CD4654A"/>
    <w:rsid w:val="2CD81E51"/>
    <w:rsid w:val="2CE803D3"/>
    <w:rsid w:val="2CEE15E1"/>
    <w:rsid w:val="2CF06A3C"/>
    <w:rsid w:val="2CF26F5B"/>
    <w:rsid w:val="2CFF086A"/>
    <w:rsid w:val="2D013861"/>
    <w:rsid w:val="2D064B26"/>
    <w:rsid w:val="2D086932"/>
    <w:rsid w:val="2D104632"/>
    <w:rsid w:val="2D2A3650"/>
    <w:rsid w:val="2D3072FE"/>
    <w:rsid w:val="2D31028B"/>
    <w:rsid w:val="2D356F9E"/>
    <w:rsid w:val="2D416432"/>
    <w:rsid w:val="2D445E5E"/>
    <w:rsid w:val="2D4537ED"/>
    <w:rsid w:val="2D4742A1"/>
    <w:rsid w:val="2D487A88"/>
    <w:rsid w:val="2D570A52"/>
    <w:rsid w:val="2D697719"/>
    <w:rsid w:val="2D6C388D"/>
    <w:rsid w:val="2D716D64"/>
    <w:rsid w:val="2D774FFB"/>
    <w:rsid w:val="2D797FB2"/>
    <w:rsid w:val="2D974D23"/>
    <w:rsid w:val="2D9B3D20"/>
    <w:rsid w:val="2DA25C72"/>
    <w:rsid w:val="2DA62658"/>
    <w:rsid w:val="2DAD0982"/>
    <w:rsid w:val="2DAF5D1C"/>
    <w:rsid w:val="2DB10A22"/>
    <w:rsid w:val="2DB222A2"/>
    <w:rsid w:val="2DB33C0A"/>
    <w:rsid w:val="2DB46B3D"/>
    <w:rsid w:val="2DB52669"/>
    <w:rsid w:val="2DBE0579"/>
    <w:rsid w:val="2DBE7D96"/>
    <w:rsid w:val="2DC35F5D"/>
    <w:rsid w:val="2DC75B1A"/>
    <w:rsid w:val="2DCC2144"/>
    <w:rsid w:val="2DD6379F"/>
    <w:rsid w:val="2DDB4B6D"/>
    <w:rsid w:val="2DE5515E"/>
    <w:rsid w:val="2DED13BE"/>
    <w:rsid w:val="2DF52FB9"/>
    <w:rsid w:val="2DF73F30"/>
    <w:rsid w:val="2DFA1D0C"/>
    <w:rsid w:val="2E0C7A4C"/>
    <w:rsid w:val="2E0E4621"/>
    <w:rsid w:val="2E102CFB"/>
    <w:rsid w:val="2E1121FD"/>
    <w:rsid w:val="2E14569B"/>
    <w:rsid w:val="2E205229"/>
    <w:rsid w:val="2E2D1D61"/>
    <w:rsid w:val="2E353422"/>
    <w:rsid w:val="2E380991"/>
    <w:rsid w:val="2E3926C3"/>
    <w:rsid w:val="2E3C6173"/>
    <w:rsid w:val="2E4A731A"/>
    <w:rsid w:val="2E5024D8"/>
    <w:rsid w:val="2E5C4F9B"/>
    <w:rsid w:val="2E643BF9"/>
    <w:rsid w:val="2E660A34"/>
    <w:rsid w:val="2E680509"/>
    <w:rsid w:val="2E89270D"/>
    <w:rsid w:val="2E962627"/>
    <w:rsid w:val="2E9B47AE"/>
    <w:rsid w:val="2EA23EF2"/>
    <w:rsid w:val="2EA469A3"/>
    <w:rsid w:val="2EAA5EA7"/>
    <w:rsid w:val="2EAE08A6"/>
    <w:rsid w:val="2EB15D4B"/>
    <w:rsid w:val="2EC517B2"/>
    <w:rsid w:val="2EC53E66"/>
    <w:rsid w:val="2ECA4FA6"/>
    <w:rsid w:val="2ECF267B"/>
    <w:rsid w:val="2ED26976"/>
    <w:rsid w:val="2EE4485A"/>
    <w:rsid w:val="2EE52A03"/>
    <w:rsid w:val="2EE72F28"/>
    <w:rsid w:val="2EE813DE"/>
    <w:rsid w:val="2EEB1791"/>
    <w:rsid w:val="2EF14059"/>
    <w:rsid w:val="2EF83B5E"/>
    <w:rsid w:val="2EFB3FE6"/>
    <w:rsid w:val="2EFB595F"/>
    <w:rsid w:val="2EFE3AC4"/>
    <w:rsid w:val="2F011184"/>
    <w:rsid w:val="2F02185F"/>
    <w:rsid w:val="2F02254F"/>
    <w:rsid w:val="2F057C99"/>
    <w:rsid w:val="2F074C65"/>
    <w:rsid w:val="2F0D6753"/>
    <w:rsid w:val="2F0F7940"/>
    <w:rsid w:val="2F1018F3"/>
    <w:rsid w:val="2F1405B3"/>
    <w:rsid w:val="2F154307"/>
    <w:rsid w:val="2F1C39E1"/>
    <w:rsid w:val="2F230191"/>
    <w:rsid w:val="2F285092"/>
    <w:rsid w:val="2F370668"/>
    <w:rsid w:val="2F3D200F"/>
    <w:rsid w:val="2F402D6C"/>
    <w:rsid w:val="2F4575D0"/>
    <w:rsid w:val="2F4635EF"/>
    <w:rsid w:val="2F495570"/>
    <w:rsid w:val="2F4E4C44"/>
    <w:rsid w:val="2F4F2BD8"/>
    <w:rsid w:val="2F540F4D"/>
    <w:rsid w:val="2F6051BD"/>
    <w:rsid w:val="2F6F5B99"/>
    <w:rsid w:val="2F781F3C"/>
    <w:rsid w:val="2F791891"/>
    <w:rsid w:val="2F7F152E"/>
    <w:rsid w:val="2F811219"/>
    <w:rsid w:val="2F843638"/>
    <w:rsid w:val="2F877CDA"/>
    <w:rsid w:val="2F9F6B02"/>
    <w:rsid w:val="2F9F7778"/>
    <w:rsid w:val="2FA1288C"/>
    <w:rsid w:val="2FA13F69"/>
    <w:rsid w:val="2FA43916"/>
    <w:rsid w:val="2FA53649"/>
    <w:rsid w:val="2FA6434F"/>
    <w:rsid w:val="2FA766BC"/>
    <w:rsid w:val="2FAE1113"/>
    <w:rsid w:val="2FB113E5"/>
    <w:rsid w:val="2FB54744"/>
    <w:rsid w:val="2FB72CA0"/>
    <w:rsid w:val="2FC70CB8"/>
    <w:rsid w:val="2FC97397"/>
    <w:rsid w:val="2FCA1C72"/>
    <w:rsid w:val="2FCB0E21"/>
    <w:rsid w:val="2FD376AD"/>
    <w:rsid w:val="2FD73D5F"/>
    <w:rsid w:val="2FDB432B"/>
    <w:rsid w:val="2FDC6B98"/>
    <w:rsid w:val="2FDE7B08"/>
    <w:rsid w:val="2FDF68B6"/>
    <w:rsid w:val="2FE465CC"/>
    <w:rsid w:val="2FED56B0"/>
    <w:rsid w:val="2FF657DC"/>
    <w:rsid w:val="2FFB7225"/>
    <w:rsid w:val="300255C6"/>
    <w:rsid w:val="300E5103"/>
    <w:rsid w:val="30132A83"/>
    <w:rsid w:val="3018677A"/>
    <w:rsid w:val="302036E6"/>
    <w:rsid w:val="30243ECE"/>
    <w:rsid w:val="302E2308"/>
    <w:rsid w:val="302E6A31"/>
    <w:rsid w:val="303A40DD"/>
    <w:rsid w:val="304173D0"/>
    <w:rsid w:val="30442620"/>
    <w:rsid w:val="30482F54"/>
    <w:rsid w:val="304B6BB7"/>
    <w:rsid w:val="304C4503"/>
    <w:rsid w:val="30526AC1"/>
    <w:rsid w:val="30530FD9"/>
    <w:rsid w:val="3054190C"/>
    <w:rsid w:val="305613C1"/>
    <w:rsid w:val="305B2D55"/>
    <w:rsid w:val="305D124C"/>
    <w:rsid w:val="306E1EF1"/>
    <w:rsid w:val="306E6922"/>
    <w:rsid w:val="30781681"/>
    <w:rsid w:val="30813227"/>
    <w:rsid w:val="308140F8"/>
    <w:rsid w:val="30846BF8"/>
    <w:rsid w:val="30877FBB"/>
    <w:rsid w:val="30910176"/>
    <w:rsid w:val="309444DE"/>
    <w:rsid w:val="309D2147"/>
    <w:rsid w:val="30A85C99"/>
    <w:rsid w:val="30AA4130"/>
    <w:rsid w:val="30AB47C5"/>
    <w:rsid w:val="30B7355D"/>
    <w:rsid w:val="30B94AC0"/>
    <w:rsid w:val="30C66D08"/>
    <w:rsid w:val="30CA1348"/>
    <w:rsid w:val="30D576BD"/>
    <w:rsid w:val="30D914CE"/>
    <w:rsid w:val="30E27D5F"/>
    <w:rsid w:val="30E31EEB"/>
    <w:rsid w:val="30E64CA0"/>
    <w:rsid w:val="30FA4CE6"/>
    <w:rsid w:val="31081AAA"/>
    <w:rsid w:val="311C7FAB"/>
    <w:rsid w:val="31231685"/>
    <w:rsid w:val="31293D1E"/>
    <w:rsid w:val="313119D3"/>
    <w:rsid w:val="31371B54"/>
    <w:rsid w:val="31383F5C"/>
    <w:rsid w:val="31394B19"/>
    <w:rsid w:val="313C0C23"/>
    <w:rsid w:val="313F32EB"/>
    <w:rsid w:val="3140437B"/>
    <w:rsid w:val="31406B5D"/>
    <w:rsid w:val="31420A94"/>
    <w:rsid w:val="314673FF"/>
    <w:rsid w:val="314A20C5"/>
    <w:rsid w:val="314C6A63"/>
    <w:rsid w:val="31544FB1"/>
    <w:rsid w:val="31571977"/>
    <w:rsid w:val="31571C78"/>
    <w:rsid w:val="315C54FC"/>
    <w:rsid w:val="31647F94"/>
    <w:rsid w:val="31683A6E"/>
    <w:rsid w:val="31723FFB"/>
    <w:rsid w:val="31725C00"/>
    <w:rsid w:val="317A104A"/>
    <w:rsid w:val="317F3FBE"/>
    <w:rsid w:val="31854832"/>
    <w:rsid w:val="31884274"/>
    <w:rsid w:val="318949FD"/>
    <w:rsid w:val="318B0F4D"/>
    <w:rsid w:val="318E6312"/>
    <w:rsid w:val="31924B17"/>
    <w:rsid w:val="319B2E7D"/>
    <w:rsid w:val="31AD726B"/>
    <w:rsid w:val="31B17FEA"/>
    <w:rsid w:val="31B76813"/>
    <w:rsid w:val="31BC226A"/>
    <w:rsid w:val="31C0715C"/>
    <w:rsid w:val="31C14F32"/>
    <w:rsid w:val="31C62574"/>
    <w:rsid w:val="31CB3016"/>
    <w:rsid w:val="31D51C36"/>
    <w:rsid w:val="31D540D9"/>
    <w:rsid w:val="31E25BB5"/>
    <w:rsid w:val="31E52C31"/>
    <w:rsid w:val="31E76A1E"/>
    <w:rsid w:val="31EE7E78"/>
    <w:rsid w:val="31F06A85"/>
    <w:rsid w:val="31F329DC"/>
    <w:rsid w:val="31F56DF0"/>
    <w:rsid w:val="31F97DDD"/>
    <w:rsid w:val="32001F8B"/>
    <w:rsid w:val="32044B56"/>
    <w:rsid w:val="320B5911"/>
    <w:rsid w:val="320C003E"/>
    <w:rsid w:val="32152B0F"/>
    <w:rsid w:val="321A3515"/>
    <w:rsid w:val="321C63D7"/>
    <w:rsid w:val="3221279F"/>
    <w:rsid w:val="32255778"/>
    <w:rsid w:val="322F4A9A"/>
    <w:rsid w:val="32312593"/>
    <w:rsid w:val="323159FD"/>
    <w:rsid w:val="32345AB7"/>
    <w:rsid w:val="323716E7"/>
    <w:rsid w:val="324252A3"/>
    <w:rsid w:val="32484AB1"/>
    <w:rsid w:val="32496576"/>
    <w:rsid w:val="324A0310"/>
    <w:rsid w:val="324F7E77"/>
    <w:rsid w:val="32530870"/>
    <w:rsid w:val="325379A5"/>
    <w:rsid w:val="325900F4"/>
    <w:rsid w:val="325A0237"/>
    <w:rsid w:val="325C155E"/>
    <w:rsid w:val="325E2BBD"/>
    <w:rsid w:val="32603716"/>
    <w:rsid w:val="32667CE0"/>
    <w:rsid w:val="326C6CF3"/>
    <w:rsid w:val="326F2F5D"/>
    <w:rsid w:val="32743DEB"/>
    <w:rsid w:val="32756405"/>
    <w:rsid w:val="32791354"/>
    <w:rsid w:val="3279408A"/>
    <w:rsid w:val="327E4D99"/>
    <w:rsid w:val="328B52E1"/>
    <w:rsid w:val="32A67BA6"/>
    <w:rsid w:val="32AF69B0"/>
    <w:rsid w:val="32B21E52"/>
    <w:rsid w:val="32B30DFB"/>
    <w:rsid w:val="32B75977"/>
    <w:rsid w:val="32BA5E3E"/>
    <w:rsid w:val="32C018D2"/>
    <w:rsid w:val="32C81855"/>
    <w:rsid w:val="32CA1B39"/>
    <w:rsid w:val="32CA675E"/>
    <w:rsid w:val="32DC5131"/>
    <w:rsid w:val="32E11FD3"/>
    <w:rsid w:val="32E244EC"/>
    <w:rsid w:val="32E43AE4"/>
    <w:rsid w:val="32E57CF6"/>
    <w:rsid w:val="32EF347D"/>
    <w:rsid w:val="32F1440B"/>
    <w:rsid w:val="32F33D8A"/>
    <w:rsid w:val="32F35977"/>
    <w:rsid w:val="32F71AD7"/>
    <w:rsid w:val="32FC4B7D"/>
    <w:rsid w:val="33091E8F"/>
    <w:rsid w:val="33120FD6"/>
    <w:rsid w:val="331B364A"/>
    <w:rsid w:val="33201A19"/>
    <w:rsid w:val="333702E1"/>
    <w:rsid w:val="333A1999"/>
    <w:rsid w:val="333B65E7"/>
    <w:rsid w:val="33403AD0"/>
    <w:rsid w:val="334324D3"/>
    <w:rsid w:val="334E1283"/>
    <w:rsid w:val="334E1454"/>
    <w:rsid w:val="334E71AC"/>
    <w:rsid w:val="33557FE0"/>
    <w:rsid w:val="3359556A"/>
    <w:rsid w:val="33601403"/>
    <w:rsid w:val="336705FF"/>
    <w:rsid w:val="3369354A"/>
    <w:rsid w:val="336A45E2"/>
    <w:rsid w:val="336E4ED6"/>
    <w:rsid w:val="33716B56"/>
    <w:rsid w:val="3373347A"/>
    <w:rsid w:val="33742DCE"/>
    <w:rsid w:val="33771FDC"/>
    <w:rsid w:val="337D52E9"/>
    <w:rsid w:val="337E10BB"/>
    <w:rsid w:val="3380076E"/>
    <w:rsid w:val="33842139"/>
    <w:rsid w:val="339170EF"/>
    <w:rsid w:val="33967FE7"/>
    <w:rsid w:val="33975AE0"/>
    <w:rsid w:val="339A4201"/>
    <w:rsid w:val="33A607C9"/>
    <w:rsid w:val="33AA3EDC"/>
    <w:rsid w:val="33B3256A"/>
    <w:rsid w:val="33B47514"/>
    <w:rsid w:val="33B94573"/>
    <w:rsid w:val="33BC1F56"/>
    <w:rsid w:val="33C748AE"/>
    <w:rsid w:val="33C75909"/>
    <w:rsid w:val="33DB47C4"/>
    <w:rsid w:val="33DF593B"/>
    <w:rsid w:val="33E64517"/>
    <w:rsid w:val="33EB5F44"/>
    <w:rsid w:val="33EF3DF2"/>
    <w:rsid w:val="33FA572B"/>
    <w:rsid w:val="3403379A"/>
    <w:rsid w:val="340A64CB"/>
    <w:rsid w:val="34100AB8"/>
    <w:rsid w:val="3411417D"/>
    <w:rsid w:val="341A6543"/>
    <w:rsid w:val="341D49B3"/>
    <w:rsid w:val="341E4CB3"/>
    <w:rsid w:val="342452D3"/>
    <w:rsid w:val="34246D6F"/>
    <w:rsid w:val="342872A6"/>
    <w:rsid w:val="34292A4F"/>
    <w:rsid w:val="34292E7C"/>
    <w:rsid w:val="342A094A"/>
    <w:rsid w:val="342F66CA"/>
    <w:rsid w:val="3430138D"/>
    <w:rsid w:val="34333BE0"/>
    <w:rsid w:val="34347AC3"/>
    <w:rsid w:val="343A0C0F"/>
    <w:rsid w:val="343C6BE9"/>
    <w:rsid w:val="343F6B81"/>
    <w:rsid w:val="344A01A6"/>
    <w:rsid w:val="344E7394"/>
    <w:rsid w:val="345755A8"/>
    <w:rsid w:val="345A0537"/>
    <w:rsid w:val="345B7068"/>
    <w:rsid w:val="345C4D68"/>
    <w:rsid w:val="345D758F"/>
    <w:rsid w:val="346A1BB2"/>
    <w:rsid w:val="346E738B"/>
    <w:rsid w:val="34785CD4"/>
    <w:rsid w:val="347B0E37"/>
    <w:rsid w:val="347D1349"/>
    <w:rsid w:val="347F046C"/>
    <w:rsid w:val="348204CA"/>
    <w:rsid w:val="34834A93"/>
    <w:rsid w:val="34874A0D"/>
    <w:rsid w:val="3491380F"/>
    <w:rsid w:val="349C27BA"/>
    <w:rsid w:val="34A14FAB"/>
    <w:rsid w:val="34A46ADA"/>
    <w:rsid w:val="34A723E9"/>
    <w:rsid w:val="34A86EFC"/>
    <w:rsid w:val="34AE13F1"/>
    <w:rsid w:val="34B2523D"/>
    <w:rsid w:val="34B3631E"/>
    <w:rsid w:val="34B72433"/>
    <w:rsid w:val="34C037F6"/>
    <w:rsid w:val="34CC14A4"/>
    <w:rsid w:val="34CF701B"/>
    <w:rsid w:val="34D665DD"/>
    <w:rsid w:val="34DB4F48"/>
    <w:rsid w:val="34DC68C6"/>
    <w:rsid w:val="34E86316"/>
    <w:rsid w:val="34EA52C6"/>
    <w:rsid w:val="34EE3576"/>
    <w:rsid w:val="34F17EC9"/>
    <w:rsid w:val="34FA344D"/>
    <w:rsid w:val="34FF7FD7"/>
    <w:rsid w:val="35017F79"/>
    <w:rsid w:val="35074086"/>
    <w:rsid w:val="351472C0"/>
    <w:rsid w:val="351F7E03"/>
    <w:rsid w:val="35206711"/>
    <w:rsid w:val="352B648D"/>
    <w:rsid w:val="352D7415"/>
    <w:rsid w:val="3531792A"/>
    <w:rsid w:val="35450042"/>
    <w:rsid w:val="354C0DB0"/>
    <w:rsid w:val="354F22C4"/>
    <w:rsid w:val="3552267E"/>
    <w:rsid w:val="35565153"/>
    <w:rsid w:val="35580193"/>
    <w:rsid w:val="355A5E02"/>
    <w:rsid w:val="35645D84"/>
    <w:rsid w:val="35675BE6"/>
    <w:rsid w:val="356E5A0B"/>
    <w:rsid w:val="357706DE"/>
    <w:rsid w:val="35831908"/>
    <w:rsid w:val="35856351"/>
    <w:rsid w:val="35862921"/>
    <w:rsid w:val="358D4F45"/>
    <w:rsid w:val="35940857"/>
    <w:rsid w:val="35955E66"/>
    <w:rsid w:val="3595612F"/>
    <w:rsid w:val="35A444A3"/>
    <w:rsid w:val="35B2395E"/>
    <w:rsid w:val="35B500E7"/>
    <w:rsid w:val="35B77945"/>
    <w:rsid w:val="35BF0938"/>
    <w:rsid w:val="35C367DA"/>
    <w:rsid w:val="35C65193"/>
    <w:rsid w:val="35C95FC3"/>
    <w:rsid w:val="35CD5577"/>
    <w:rsid w:val="35CE53F0"/>
    <w:rsid w:val="35D210D6"/>
    <w:rsid w:val="35D3027B"/>
    <w:rsid w:val="35D738FD"/>
    <w:rsid w:val="35DC58C2"/>
    <w:rsid w:val="35E3342C"/>
    <w:rsid w:val="35E6341D"/>
    <w:rsid w:val="35E73D07"/>
    <w:rsid w:val="35E83C90"/>
    <w:rsid w:val="35F10AFB"/>
    <w:rsid w:val="35F43DF2"/>
    <w:rsid w:val="35F500F0"/>
    <w:rsid w:val="35F60672"/>
    <w:rsid w:val="35FE5605"/>
    <w:rsid w:val="35FF189A"/>
    <w:rsid w:val="36013E8A"/>
    <w:rsid w:val="360219E2"/>
    <w:rsid w:val="36044720"/>
    <w:rsid w:val="36064FBA"/>
    <w:rsid w:val="3614405A"/>
    <w:rsid w:val="3615173C"/>
    <w:rsid w:val="3619343A"/>
    <w:rsid w:val="36196E2D"/>
    <w:rsid w:val="361E5F79"/>
    <w:rsid w:val="36255FE7"/>
    <w:rsid w:val="362859A8"/>
    <w:rsid w:val="362F44EC"/>
    <w:rsid w:val="36380784"/>
    <w:rsid w:val="363A6D22"/>
    <w:rsid w:val="364A0B1E"/>
    <w:rsid w:val="365C692E"/>
    <w:rsid w:val="365E5AB3"/>
    <w:rsid w:val="3664672E"/>
    <w:rsid w:val="36684B85"/>
    <w:rsid w:val="36694323"/>
    <w:rsid w:val="36715F81"/>
    <w:rsid w:val="3672153F"/>
    <w:rsid w:val="3672290B"/>
    <w:rsid w:val="367A12DB"/>
    <w:rsid w:val="367A3D17"/>
    <w:rsid w:val="36871919"/>
    <w:rsid w:val="368D0336"/>
    <w:rsid w:val="368F393D"/>
    <w:rsid w:val="369E16D7"/>
    <w:rsid w:val="36B15850"/>
    <w:rsid w:val="36B46738"/>
    <w:rsid w:val="36B969ED"/>
    <w:rsid w:val="36BB12A7"/>
    <w:rsid w:val="36BE11DF"/>
    <w:rsid w:val="36BF09FB"/>
    <w:rsid w:val="36C276D2"/>
    <w:rsid w:val="36C35683"/>
    <w:rsid w:val="36D5244B"/>
    <w:rsid w:val="36D53B5B"/>
    <w:rsid w:val="36DB016A"/>
    <w:rsid w:val="36DD3272"/>
    <w:rsid w:val="36E5713F"/>
    <w:rsid w:val="36F20C2B"/>
    <w:rsid w:val="36F21C48"/>
    <w:rsid w:val="36F57A57"/>
    <w:rsid w:val="36FF6DEB"/>
    <w:rsid w:val="37047996"/>
    <w:rsid w:val="37072335"/>
    <w:rsid w:val="370C7C10"/>
    <w:rsid w:val="370E00AB"/>
    <w:rsid w:val="370E0B70"/>
    <w:rsid w:val="371015D4"/>
    <w:rsid w:val="37104E88"/>
    <w:rsid w:val="37144AD8"/>
    <w:rsid w:val="371B2D39"/>
    <w:rsid w:val="37287D74"/>
    <w:rsid w:val="372F0142"/>
    <w:rsid w:val="37331E41"/>
    <w:rsid w:val="373329D5"/>
    <w:rsid w:val="373A5B89"/>
    <w:rsid w:val="373B5931"/>
    <w:rsid w:val="373C0861"/>
    <w:rsid w:val="373C0D3C"/>
    <w:rsid w:val="3740200E"/>
    <w:rsid w:val="37410937"/>
    <w:rsid w:val="37420D4B"/>
    <w:rsid w:val="37470DDB"/>
    <w:rsid w:val="37481C49"/>
    <w:rsid w:val="374D494F"/>
    <w:rsid w:val="375C6CAA"/>
    <w:rsid w:val="37673380"/>
    <w:rsid w:val="37692AA2"/>
    <w:rsid w:val="376936A3"/>
    <w:rsid w:val="376B0BB2"/>
    <w:rsid w:val="376B5BE2"/>
    <w:rsid w:val="37761760"/>
    <w:rsid w:val="37792D4C"/>
    <w:rsid w:val="377C1A12"/>
    <w:rsid w:val="377F29FA"/>
    <w:rsid w:val="378A2E48"/>
    <w:rsid w:val="378B14DA"/>
    <w:rsid w:val="378D4721"/>
    <w:rsid w:val="3793144B"/>
    <w:rsid w:val="3794599E"/>
    <w:rsid w:val="37A24258"/>
    <w:rsid w:val="37A36539"/>
    <w:rsid w:val="37A867E7"/>
    <w:rsid w:val="37AB5815"/>
    <w:rsid w:val="37AE3B96"/>
    <w:rsid w:val="37AE3FC6"/>
    <w:rsid w:val="37AE5261"/>
    <w:rsid w:val="37B22D58"/>
    <w:rsid w:val="37B3204B"/>
    <w:rsid w:val="37B532ED"/>
    <w:rsid w:val="37B852BB"/>
    <w:rsid w:val="37BC1250"/>
    <w:rsid w:val="37BE52D4"/>
    <w:rsid w:val="37C13ADD"/>
    <w:rsid w:val="37C615E0"/>
    <w:rsid w:val="37C760B1"/>
    <w:rsid w:val="37CA282F"/>
    <w:rsid w:val="37CB1389"/>
    <w:rsid w:val="37DB6C63"/>
    <w:rsid w:val="37DC1D8E"/>
    <w:rsid w:val="37DE1511"/>
    <w:rsid w:val="37EB49EA"/>
    <w:rsid w:val="37EC0B89"/>
    <w:rsid w:val="37F1732C"/>
    <w:rsid w:val="37F41004"/>
    <w:rsid w:val="37F53C31"/>
    <w:rsid w:val="37FE386C"/>
    <w:rsid w:val="380546E0"/>
    <w:rsid w:val="38085331"/>
    <w:rsid w:val="380A315B"/>
    <w:rsid w:val="38114349"/>
    <w:rsid w:val="38117674"/>
    <w:rsid w:val="3812501F"/>
    <w:rsid w:val="38160CEE"/>
    <w:rsid w:val="381A2672"/>
    <w:rsid w:val="381F275F"/>
    <w:rsid w:val="38271EE5"/>
    <w:rsid w:val="38297B37"/>
    <w:rsid w:val="382A0E2E"/>
    <w:rsid w:val="382B027B"/>
    <w:rsid w:val="382F5D8D"/>
    <w:rsid w:val="38337A01"/>
    <w:rsid w:val="3839245D"/>
    <w:rsid w:val="383C06F7"/>
    <w:rsid w:val="383F51EF"/>
    <w:rsid w:val="38436EDB"/>
    <w:rsid w:val="38484C8B"/>
    <w:rsid w:val="384B25B4"/>
    <w:rsid w:val="384B746C"/>
    <w:rsid w:val="38520289"/>
    <w:rsid w:val="38525B63"/>
    <w:rsid w:val="385A4F69"/>
    <w:rsid w:val="385E53C0"/>
    <w:rsid w:val="387265C4"/>
    <w:rsid w:val="387811A2"/>
    <w:rsid w:val="38866914"/>
    <w:rsid w:val="38934508"/>
    <w:rsid w:val="38951ABA"/>
    <w:rsid w:val="389A6219"/>
    <w:rsid w:val="389C197D"/>
    <w:rsid w:val="389C6FFC"/>
    <w:rsid w:val="389E103B"/>
    <w:rsid w:val="38A53C7F"/>
    <w:rsid w:val="38A53CD2"/>
    <w:rsid w:val="38A92D72"/>
    <w:rsid w:val="38AD4C0A"/>
    <w:rsid w:val="38B044CA"/>
    <w:rsid w:val="38B46374"/>
    <w:rsid w:val="38B92A9A"/>
    <w:rsid w:val="38BA5014"/>
    <w:rsid w:val="38BA672D"/>
    <w:rsid w:val="38BF41E4"/>
    <w:rsid w:val="38C05CF9"/>
    <w:rsid w:val="38C22308"/>
    <w:rsid w:val="38C31B7A"/>
    <w:rsid w:val="38C449E2"/>
    <w:rsid w:val="38C930B0"/>
    <w:rsid w:val="38D2274D"/>
    <w:rsid w:val="38D71A00"/>
    <w:rsid w:val="38D83DA4"/>
    <w:rsid w:val="38DC7A1B"/>
    <w:rsid w:val="38DD06D2"/>
    <w:rsid w:val="38E4037F"/>
    <w:rsid w:val="38E94D65"/>
    <w:rsid w:val="38F32D99"/>
    <w:rsid w:val="38F73A4C"/>
    <w:rsid w:val="38F97365"/>
    <w:rsid w:val="390429EC"/>
    <w:rsid w:val="390E78D6"/>
    <w:rsid w:val="391106DB"/>
    <w:rsid w:val="39126A08"/>
    <w:rsid w:val="391E360F"/>
    <w:rsid w:val="391F1FF5"/>
    <w:rsid w:val="39213274"/>
    <w:rsid w:val="39231158"/>
    <w:rsid w:val="392B6C66"/>
    <w:rsid w:val="39364486"/>
    <w:rsid w:val="393E07AB"/>
    <w:rsid w:val="393E293F"/>
    <w:rsid w:val="39506734"/>
    <w:rsid w:val="395A6D19"/>
    <w:rsid w:val="395D0192"/>
    <w:rsid w:val="395D0E21"/>
    <w:rsid w:val="39623B52"/>
    <w:rsid w:val="39727F06"/>
    <w:rsid w:val="39765E70"/>
    <w:rsid w:val="39774BBD"/>
    <w:rsid w:val="39847EB1"/>
    <w:rsid w:val="398704BB"/>
    <w:rsid w:val="39882427"/>
    <w:rsid w:val="39926717"/>
    <w:rsid w:val="399A4AA2"/>
    <w:rsid w:val="399E1C0B"/>
    <w:rsid w:val="399E7C1A"/>
    <w:rsid w:val="39A21811"/>
    <w:rsid w:val="39B261DB"/>
    <w:rsid w:val="39B857F7"/>
    <w:rsid w:val="39B90E5E"/>
    <w:rsid w:val="39BB3A94"/>
    <w:rsid w:val="39C1671E"/>
    <w:rsid w:val="39C5191A"/>
    <w:rsid w:val="39CB526D"/>
    <w:rsid w:val="39CF1214"/>
    <w:rsid w:val="39D546A7"/>
    <w:rsid w:val="39DA79CB"/>
    <w:rsid w:val="39E069D4"/>
    <w:rsid w:val="39F070CC"/>
    <w:rsid w:val="39F1141A"/>
    <w:rsid w:val="39F12591"/>
    <w:rsid w:val="39FA1CF1"/>
    <w:rsid w:val="3A001D3B"/>
    <w:rsid w:val="3A016BF0"/>
    <w:rsid w:val="3A0C0131"/>
    <w:rsid w:val="3A0C1916"/>
    <w:rsid w:val="3A1C71BF"/>
    <w:rsid w:val="3A216AA7"/>
    <w:rsid w:val="3A2B63E8"/>
    <w:rsid w:val="3A2C3BA6"/>
    <w:rsid w:val="3A3539DC"/>
    <w:rsid w:val="3A3D4D53"/>
    <w:rsid w:val="3A474BBB"/>
    <w:rsid w:val="3A4C45A1"/>
    <w:rsid w:val="3A577ADC"/>
    <w:rsid w:val="3A5F3F5A"/>
    <w:rsid w:val="3A6D66ED"/>
    <w:rsid w:val="3A7008C3"/>
    <w:rsid w:val="3A7116FC"/>
    <w:rsid w:val="3A76541F"/>
    <w:rsid w:val="3A7A14EA"/>
    <w:rsid w:val="3A7D75EF"/>
    <w:rsid w:val="3A7F4366"/>
    <w:rsid w:val="3A881F93"/>
    <w:rsid w:val="3A89673E"/>
    <w:rsid w:val="3A8D11CC"/>
    <w:rsid w:val="3A8E5599"/>
    <w:rsid w:val="3A9A07D3"/>
    <w:rsid w:val="3A9C50AA"/>
    <w:rsid w:val="3AA312D0"/>
    <w:rsid w:val="3AAD2322"/>
    <w:rsid w:val="3AB06715"/>
    <w:rsid w:val="3AC351F1"/>
    <w:rsid w:val="3ACB36E9"/>
    <w:rsid w:val="3ACB7871"/>
    <w:rsid w:val="3ACC168E"/>
    <w:rsid w:val="3AD34546"/>
    <w:rsid w:val="3AD847A7"/>
    <w:rsid w:val="3AE15E3F"/>
    <w:rsid w:val="3AE839C5"/>
    <w:rsid w:val="3AEF76B1"/>
    <w:rsid w:val="3AF27012"/>
    <w:rsid w:val="3AF808B9"/>
    <w:rsid w:val="3AFC0F08"/>
    <w:rsid w:val="3B0114CC"/>
    <w:rsid w:val="3B050C15"/>
    <w:rsid w:val="3B112207"/>
    <w:rsid w:val="3B112F57"/>
    <w:rsid w:val="3B124A60"/>
    <w:rsid w:val="3B1B5ED1"/>
    <w:rsid w:val="3B1C6939"/>
    <w:rsid w:val="3B1E3124"/>
    <w:rsid w:val="3B237FE2"/>
    <w:rsid w:val="3B253206"/>
    <w:rsid w:val="3B257B7C"/>
    <w:rsid w:val="3B2E4EF4"/>
    <w:rsid w:val="3B363565"/>
    <w:rsid w:val="3B415600"/>
    <w:rsid w:val="3B452280"/>
    <w:rsid w:val="3B4B4611"/>
    <w:rsid w:val="3B4F5C3D"/>
    <w:rsid w:val="3B555758"/>
    <w:rsid w:val="3B556447"/>
    <w:rsid w:val="3B59157A"/>
    <w:rsid w:val="3B5A461E"/>
    <w:rsid w:val="3B655303"/>
    <w:rsid w:val="3B694363"/>
    <w:rsid w:val="3B6A6F30"/>
    <w:rsid w:val="3B7175ED"/>
    <w:rsid w:val="3B7445CF"/>
    <w:rsid w:val="3B7A5CB5"/>
    <w:rsid w:val="3B7B36A3"/>
    <w:rsid w:val="3B81256C"/>
    <w:rsid w:val="3B8535DD"/>
    <w:rsid w:val="3B872331"/>
    <w:rsid w:val="3B8A0FE3"/>
    <w:rsid w:val="3B8B274A"/>
    <w:rsid w:val="3B90223A"/>
    <w:rsid w:val="3BA23EEE"/>
    <w:rsid w:val="3BA866BF"/>
    <w:rsid w:val="3BAA4EAB"/>
    <w:rsid w:val="3BB00B83"/>
    <w:rsid w:val="3BB438AE"/>
    <w:rsid w:val="3BB67C98"/>
    <w:rsid w:val="3BBD3102"/>
    <w:rsid w:val="3BC16595"/>
    <w:rsid w:val="3BC21EE9"/>
    <w:rsid w:val="3BC7627B"/>
    <w:rsid w:val="3BCC5A8F"/>
    <w:rsid w:val="3BCD3469"/>
    <w:rsid w:val="3BD60116"/>
    <w:rsid w:val="3BD82617"/>
    <w:rsid w:val="3BDB327D"/>
    <w:rsid w:val="3BDB4383"/>
    <w:rsid w:val="3BED3A77"/>
    <w:rsid w:val="3BEF6195"/>
    <w:rsid w:val="3BEF7A3A"/>
    <w:rsid w:val="3BFA7D60"/>
    <w:rsid w:val="3C043623"/>
    <w:rsid w:val="3C084B4A"/>
    <w:rsid w:val="3C0B742B"/>
    <w:rsid w:val="3C0C3AD9"/>
    <w:rsid w:val="3C0F040C"/>
    <w:rsid w:val="3C0F6775"/>
    <w:rsid w:val="3C186DEF"/>
    <w:rsid w:val="3C2060E6"/>
    <w:rsid w:val="3C26110F"/>
    <w:rsid w:val="3C280011"/>
    <w:rsid w:val="3C2B69B2"/>
    <w:rsid w:val="3C322615"/>
    <w:rsid w:val="3C341596"/>
    <w:rsid w:val="3C372B04"/>
    <w:rsid w:val="3C38207F"/>
    <w:rsid w:val="3C4A36CF"/>
    <w:rsid w:val="3C4D7FC6"/>
    <w:rsid w:val="3C5A0649"/>
    <w:rsid w:val="3C5D5511"/>
    <w:rsid w:val="3C5D5718"/>
    <w:rsid w:val="3C695DCE"/>
    <w:rsid w:val="3C6A6E3E"/>
    <w:rsid w:val="3C6B4CE4"/>
    <w:rsid w:val="3C6C1257"/>
    <w:rsid w:val="3C6D4F86"/>
    <w:rsid w:val="3C6E4611"/>
    <w:rsid w:val="3C6F39FB"/>
    <w:rsid w:val="3C6F5C49"/>
    <w:rsid w:val="3C70025C"/>
    <w:rsid w:val="3C735075"/>
    <w:rsid w:val="3C77244A"/>
    <w:rsid w:val="3C783F6C"/>
    <w:rsid w:val="3C7A543E"/>
    <w:rsid w:val="3C7C68CA"/>
    <w:rsid w:val="3C81013A"/>
    <w:rsid w:val="3C820803"/>
    <w:rsid w:val="3C893553"/>
    <w:rsid w:val="3C986303"/>
    <w:rsid w:val="3C990100"/>
    <w:rsid w:val="3C9B4C33"/>
    <w:rsid w:val="3C9C1B00"/>
    <w:rsid w:val="3C9C3774"/>
    <w:rsid w:val="3C9D6BB1"/>
    <w:rsid w:val="3CA07826"/>
    <w:rsid w:val="3CA17A3D"/>
    <w:rsid w:val="3CA475A5"/>
    <w:rsid w:val="3CA54122"/>
    <w:rsid w:val="3CA83A12"/>
    <w:rsid w:val="3CA85166"/>
    <w:rsid w:val="3CAE0373"/>
    <w:rsid w:val="3CAE3726"/>
    <w:rsid w:val="3CB576A3"/>
    <w:rsid w:val="3CBE3F34"/>
    <w:rsid w:val="3CBF03CD"/>
    <w:rsid w:val="3CC06070"/>
    <w:rsid w:val="3CC069F2"/>
    <w:rsid w:val="3CC433D7"/>
    <w:rsid w:val="3CC9197E"/>
    <w:rsid w:val="3CCB1797"/>
    <w:rsid w:val="3CD81277"/>
    <w:rsid w:val="3CD927D3"/>
    <w:rsid w:val="3CDD45F6"/>
    <w:rsid w:val="3CDD641E"/>
    <w:rsid w:val="3CDD6F13"/>
    <w:rsid w:val="3CE03540"/>
    <w:rsid w:val="3CF012B5"/>
    <w:rsid w:val="3CF10224"/>
    <w:rsid w:val="3CF10A63"/>
    <w:rsid w:val="3D05649D"/>
    <w:rsid w:val="3D0E2650"/>
    <w:rsid w:val="3D0E7B96"/>
    <w:rsid w:val="3D24596E"/>
    <w:rsid w:val="3D2558DA"/>
    <w:rsid w:val="3D2E57FB"/>
    <w:rsid w:val="3D3256F4"/>
    <w:rsid w:val="3D344D4E"/>
    <w:rsid w:val="3D433BE3"/>
    <w:rsid w:val="3D4410E3"/>
    <w:rsid w:val="3D4F1820"/>
    <w:rsid w:val="3D505E2B"/>
    <w:rsid w:val="3D54620E"/>
    <w:rsid w:val="3D5D13B1"/>
    <w:rsid w:val="3D6C2810"/>
    <w:rsid w:val="3D757B20"/>
    <w:rsid w:val="3D761B1D"/>
    <w:rsid w:val="3D7845E4"/>
    <w:rsid w:val="3D806AC3"/>
    <w:rsid w:val="3D8438BD"/>
    <w:rsid w:val="3D8517F9"/>
    <w:rsid w:val="3D8B02DF"/>
    <w:rsid w:val="3D9A50A8"/>
    <w:rsid w:val="3D9B69AA"/>
    <w:rsid w:val="3D9E5E72"/>
    <w:rsid w:val="3DA009B3"/>
    <w:rsid w:val="3DA009CC"/>
    <w:rsid w:val="3DA54FB2"/>
    <w:rsid w:val="3DA5644E"/>
    <w:rsid w:val="3DAC0D28"/>
    <w:rsid w:val="3DB728EA"/>
    <w:rsid w:val="3DB9249A"/>
    <w:rsid w:val="3DBC3CE2"/>
    <w:rsid w:val="3DC118EF"/>
    <w:rsid w:val="3DCB0D5F"/>
    <w:rsid w:val="3DCE0A89"/>
    <w:rsid w:val="3DCE671C"/>
    <w:rsid w:val="3DD02B71"/>
    <w:rsid w:val="3DD10E6B"/>
    <w:rsid w:val="3DD841B7"/>
    <w:rsid w:val="3DDB2B21"/>
    <w:rsid w:val="3DDC6D31"/>
    <w:rsid w:val="3DE107A0"/>
    <w:rsid w:val="3DE121B4"/>
    <w:rsid w:val="3DE21CE1"/>
    <w:rsid w:val="3DE64097"/>
    <w:rsid w:val="3DE67BD3"/>
    <w:rsid w:val="3DF145BF"/>
    <w:rsid w:val="3DF35996"/>
    <w:rsid w:val="3DF6113A"/>
    <w:rsid w:val="3DF70567"/>
    <w:rsid w:val="3DF94BFE"/>
    <w:rsid w:val="3E0328BF"/>
    <w:rsid w:val="3E0441D4"/>
    <w:rsid w:val="3E0F1CFB"/>
    <w:rsid w:val="3E111D45"/>
    <w:rsid w:val="3E1565B5"/>
    <w:rsid w:val="3E1B0CF6"/>
    <w:rsid w:val="3E1B763A"/>
    <w:rsid w:val="3E1D490C"/>
    <w:rsid w:val="3E1F67AC"/>
    <w:rsid w:val="3E21192C"/>
    <w:rsid w:val="3E296382"/>
    <w:rsid w:val="3E304585"/>
    <w:rsid w:val="3E343E9B"/>
    <w:rsid w:val="3E356221"/>
    <w:rsid w:val="3E374163"/>
    <w:rsid w:val="3E3D4614"/>
    <w:rsid w:val="3E451A9D"/>
    <w:rsid w:val="3E4E6604"/>
    <w:rsid w:val="3E4E6CDE"/>
    <w:rsid w:val="3E4F6FC8"/>
    <w:rsid w:val="3E513A70"/>
    <w:rsid w:val="3E530307"/>
    <w:rsid w:val="3E535F39"/>
    <w:rsid w:val="3E56265A"/>
    <w:rsid w:val="3E5F25B3"/>
    <w:rsid w:val="3E5F6DF9"/>
    <w:rsid w:val="3E633790"/>
    <w:rsid w:val="3E74301D"/>
    <w:rsid w:val="3E79217F"/>
    <w:rsid w:val="3E7D7398"/>
    <w:rsid w:val="3E850395"/>
    <w:rsid w:val="3E8F5775"/>
    <w:rsid w:val="3EA32A03"/>
    <w:rsid w:val="3EA35B18"/>
    <w:rsid w:val="3EA916AB"/>
    <w:rsid w:val="3EB16E07"/>
    <w:rsid w:val="3EB80F93"/>
    <w:rsid w:val="3EBC260C"/>
    <w:rsid w:val="3EBE190B"/>
    <w:rsid w:val="3EC25F89"/>
    <w:rsid w:val="3EC63301"/>
    <w:rsid w:val="3ECA003B"/>
    <w:rsid w:val="3ECD13E3"/>
    <w:rsid w:val="3ED06C6B"/>
    <w:rsid w:val="3ED3410B"/>
    <w:rsid w:val="3ED641B3"/>
    <w:rsid w:val="3ED8339A"/>
    <w:rsid w:val="3EE458A4"/>
    <w:rsid w:val="3EF076C8"/>
    <w:rsid w:val="3EF42362"/>
    <w:rsid w:val="3EF66E9E"/>
    <w:rsid w:val="3EF9253B"/>
    <w:rsid w:val="3EFD78BA"/>
    <w:rsid w:val="3F0D0365"/>
    <w:rsid w:val="3F0E18F3"/>
    <w:rsid w:val="3F117991"/>
    <w:rsid w:val="3F17316C"/>
    <w:rsid w:val="3F1B0C01"/>
    <w:rsid w:val="3F210B8F"/>
    <w:rsid w:val="3F2228BB"/>
    <w:rsid w:val="3F2C464B"/>
    <w:rsid w:val="3F2C65EA"/>
    <w:rsid w:val="3F3375E9"/>
    <w:rsid w:val="3F3B6E0A"/>
    <w:rsid w:val="3F3F1578"/>
    <w:rsid w:val="3F484DDE"/>
    <w:rsid w:val="3F575CF6"/>
    <w:rsid w:val="3F5954A7"/>
    <w:rsid w:val="3F6249EF"/>
    <w:rsid w:val="3F6A75F8"/>
    <w:rsid w:val="3F6E46A4"/>
    <w:rsid w:val="3F72473B"/>
    <w:rsid w:val="3F744FC7"/>
    <w:rsid w:val="3F795109"/>
    <w:rsid w:val="3F7E608C"/>
    <w:rsid w:val="3F863A07"/>
    <w:rsid w:val="3F88589C"/>
    <w:rsid w:val="3F8B0FF0"/>
    <w:rsid w:val="3F9362BF"/>
    <w:rsid w:val="3F972DFE"/>
    <w:rsid w:val="3F982F2C"/>
    <w:rsid w:val="3F993301"/>
    <w:rsid w:val="3F9B40F5"/>
    <w:rsid w:val="3F9D7BD2"/>
    <w:rsid w:val="3FA45ACD"/>
    <w:rsid w:val="3FA51106"/>
    <w:rsid w:val="3FAA3351"/>
    <w:rsid w:val="3FAB5529"/>
    <w:rsid w:val="3FB32F4A"/>
    <w:rsid w:val="3FB57686"/>
    <w:rsid w:val="3FB62C2C"/>
    <w:rsid w:val="3FBA2BB3"/>
    <w:rsid w:val="3FBD391E"/>
    <w:rsid w:val="3FBF3ABE"/>
    <w:rsid w:val="3FD438B9"/>
    <w:rsid w:val="3FD801CC"/>
    <w:rsid w:val="3FDC259C"/>
    <w:rsid w:val="3FDE6019"/>
    <w:rsid w:val="3FE80B3E"/>
    <w:rsid w:val="3FE8448F"/>
    <w:rsid w:val="3FEE16BD"/>
    <w:rsid w:val="3FF3291D"/>
    <w:rsid w:val="3FFB7550"/>
    <w:rsid w:val="40040E62"/>
    <w:rsid w:val="40097ED4"/>
    <w:rsid w:val="4013650D"/>
    <w:rsid w:val="40215F21"/>
    <w:rsid w:val="40224723"/>
    <w:rsid w:val="402C7086"/>
    <w:rsid w:val="403403F4"/>
    <w:rsid w:val="4036300F"/>
    <w:rsid w:val="40374A52"/>
    <w:rsid w:val="40427926"/>
    <w:rsid w:val="40465DB4"/>
    <w:rsid w:val="4051638A"/>
    <w:rsid w:val="4053273E"/>
    <w:rsid w:val="40586B1A"/>
    <w:rsid w:val="40592F9A"/>
    <w:rsid w:val="405B6DDC"/>
    <w:rsid w:val="405C46EC"/>
    <w:rsid w:val="40777B57"/>
    <w:rsid w:val="407B5438"/>
    <w:rsid w:val="407D7B0B"/>
    <w:rsid w:val="408A4409"/>
    <w:rsid w:val="408F04FF"/>
    <w:rsid w:val="40933A21"/>
    <w:rsid w:val="40953B65"/>
    <w:rsid w:val="40A34B97"/>
    <w:rsid w:val="40A62CBC"/>
    <w:rsid w:val="40A74477"/>
    <w:rsid w:val="40A75108"/>
    <w:rsid w:val="40AB14CD"/>
    <w:rsid w:val="40AF577A"/>
    <w:rsid w:val="40B62E81"/>
    <w:rsid w:val="40B81B22"/>
    <w:rsid w:val="40C172AC"/>
    <w:rsid w:val="40C17E4D"/>
    <w:rsid w:val="40C5399F"/>
    <w:rsid w:val="40C55F8D"/>
    <w:rsid w:val="40C5600E"/>
    <w:rsid w:val="40C64143"/>
    <w:rsid w:val="40D31762"/>
    <w:rsid w:val="40D42663"/>
    <w:rsid w:val="40D52670"/>
    <w:rsid w:val="40DB5285"/>
    <w:rsid w:val="40E8328F"/>
    <w:rsid w:val="40F31A37"/>
    <w:rsid w:val="410419ED"/>
    <w:rsid w:val="4104397E"/>
    <w:rsid w:val="410727A8"/>
    <w:rsid w:val="41084A57"/>
    <w:rsid w:val="410F7AAD"/>
    <w:rsid w:val="411557D9"/>
    <w:rsid w:val="411706B0"/>
    <w:rsid w:val="41175358"/>
    <w:rsid w:val="411811D5"/>
    <w:rsid w:val="4125135B"/>
    <w:rsid w:val="4126297D"/>
    <w:rsid w:val="412911E8"/>
    <w:rsid w:val="412A3388"/>
    <w:rsid w:val="412E4433"/>
    <w:rsid w:val="41321849"/>
    <w:rsid w:val="41362318"/>
    <w:rsid w:val="4136672A"/>
    <w:rsid w:val="413A1854"/>
    <w:rsid w:val="413C1A76"/>
    <w:rsid w:val="41436DA0"/>
    <w:rsid w:val="415171FD"/>
    <w:rsid w:val="41542505"/>
    <w:rsid w:val="415720A4"/>
    <w:rsid w:val="41581AA2"/>
    <w:rsid w:val="416A0B42"/>
    <w:rsid w:val="416C1A09"/>
    <w:rsid w:val="417769F6"/>
    <w:rsid w:val="417B10E1"/>
    <w:rsid w:val="41803DA8"/>
    <w:rsid w:val="418436CE"/>
    <w:rsid w:val="418631C6"/>
    <w:rsid w:val="41872ED0"/>
    <w:rsid w:val="418D5808"/>
    <w:rsid w:val="418D65EA"/>
    <w:rsid w:val="418E0C80"/>
    <w:rsid w:val="419C7CBE"/>
    <w:rsid w:val="419D0870"/>
    <w:rsid w:val="419D129A"/>
    <w:rsid w:val="419E1A88"/>
    <w:rsid w:val="41A04B67"/>
    <w:rsid w:val="41A4134F"/>
    <w:rsid w:val="41AF65DD"/>
    <w:rsid w:val="41B10164"/>
    <w:rsid w:val="41BE631A"/>
    <w:rsid w:val="41C34B5E"/>
    <w:rsid w:val="41C36863"/>
    <w:rsid w:val="41C40A68"/>
    <w:rsid w:val="41CE5F9C"/>
    <w:rsid w:val="41D66E7D"/>
    <w:rsid w:val="41D818EF"/>
    <w:rsid w:val="41DC48D7"/>
    <w:rsid w:val="41E76E0D"/>
    <w:rsid w:val="41F16692"/>
    <w:rsid w:val="41FA376E"/>
    <w:rsid w:val="41FE6CB2"/>
    <w:rsid w:val="420556C8"/>
    <w:rsid w:val="4214720F"/>
    <w:rsid w:val="4215698E"/>
    <w:rsid w:val="421576E7"/>
    <w:rsid w:val="4217488D"/>
    <w:rsid w:val="421A364B"/>
    <w:rsid w:val="421D7B36"/>
    <w:rsid w:val="422345EF"/>
    <w:rsid w:val="42240668"/>
    <w:rsid w:val="422A1E24"/>
    <w:rsid w:val="422E486B"/>
    <w:rsid w:val="42322EE5"/>
    <w:rsid w:val="423A25B5"/>
    <w:rsid w:val="42497ED2"/>
    <w:rsid w:val="42582F93"/>
    <w:rsid w:val="425A4600"/>
    <w:rsid w:val="4265286C"/>
    <w:rsid w:val="42690B24"/>
    <w:rsid w:val="426E5B8B"/>
    <w:rsid w:val="427378E6"/>
    <w:rsid w:val="427B6471"/>
    <w:rsid w:val="427C184E"/>
    <w:rsid w:val="42890C2F"/>
    <w:rsid w:val="428B14DB"/>
    <w:rsid w:val="428B5B04"/>
    <w:rsid w:val="42924E8D"/>
    <w:rsid w:val="4297748A"/>
    <w:rsid w:val="429D0713"/>
    <w:rsid w:val="429F313B"/>
    <w:rsid w:val="42A2575F"/>
    <w:rsid w:val="42A825EA"/>
    <w:rsid w:val="42AC2494"/>
    <w:rsid w:val="42B302EA"/>
    <w:rsid w:val="42B3545B"/>
    <w:rsid w:val="42B61338"/>
    <w:rsid w:val="42B75E2D"/>
    <w:rsid w:val="42B90AAB"/>
    <w:rsid w:val="42C5009E"/>
    <w:rsid w:val="42C92A69"/>
    <w:rsid w:val="42CB7D59"/>
    <w:rsid w:val="42D604C8"/>
    <w:rsid w:val="42DF35C8"/>
    <w:rsid w:val="42E36698"/>
    <w:rsid w:val="42E9081C"/>
    <w:rsid w:val="42EF0CCD"/>
    <w:rsid w:val="42F1490F"/>
    <w:rsid w:val="42F25520"/>
    <w:rsid w:val="42FA52E0"/>
    <w:rsid w:val="430D0405"/>
    <w:rsid w:val="4312542E"/>
    <w:rsid w:val="431417E6"/>
    <w:rsid w:val="431B56A6"/>
    <w:rsid w:val="43206F9C"/>
    <w:rsid w:val="433429FE"/>
    <w:rsid w:val="4334351A"/>
    <w:rsid w:val="43353730"/>
    <w:rsid w:val="433615B6"/>
    <w:rsid w:val="43396575"/>
    <w:rsid w:val="43401019"/>
    <w:rsid w:val="4351273E"/>
    <w:rsid w:val="4351304C"/>
    <w:rsid w:val="435C0226"/>
    <w:rsid w:val="435C3F50"/>
    <w:rsid w:val="435D2A57"/>
    <w:rsid w:val="435E2E37"/>
    <w:rsid w:val="435E6B00"/>
    <w:rsid w:val="435F147C"/>
    <w:rsid w:val="43607646"/>
    <w:rsid w:val="43607AA4"/>
    <w:rsid w:val="43647539"/>
    <w:rsid w:val="43701EDF"/>
    <w:rsid w:val="43714E22"/>
    <w:rsid w:val="43733D13"/>
    <w:rsid w:val="4374621A"/>
    <w:rsid w:val="43772AD7"/>
    <w:rsid w:val="4377334C"/>
    <w:rsid w:val="437B42D0"/>
    <w:rsid w:val="437F1B78"/>
    <w:rsid w:val="4382514B"/>
    <w:rsid w:val="439936C4"/>
    <w:rsid w:val="439D3E7F"/>
    <w:rsid w:val="43A03519"/>
    <w:rsid w:val="43A0773A"/>
    <w:rsid w:val="43A26B5F"/>
    <w:rsid w:val="43A30AD2"/>
    <w:rsid w:val="43A35347"/>
    <w:rsid w:val="43A84417"/>
    <w:rsid w:val="43A95555"/>
    <w:rsid w:val="43AA5E51"/>
    <w:rsid w:val="43B27F51"/>
    <w:rsid w:val="43C211B7"/>
    <w:rsid w:val="43D41C6F"/>
    <w:rsid w:val="43E232E1"/>
    <w:rsid w:val="43E567A6"/>
    <w:rsid w:val="43F17C0D"/>
    <w:rsid w:val="43F84F4E"/>
    <w:rsid w:val="440A5B01"/>
    <w:rsid w:val="44165D48"/>
    <w:rsid w:val="441C42F4"/>
    <w:rsid w:val="441F0817"/>
    <w:rsid w:val="441F3CB6"/>
    <w:rsid w:val="44230F47"/>
    <w:rsid w:val="4426547A"/>
    <w:rsid w:val="44295215"/>
    <w:rsid w:val="442A33F4"/>
    <w:rsid w:val="4431690E"/>
    <w:rsid w:val="44465D22"/>
    <w:rsid w:val="444E225B"/>
    <w:rsid w:val="44574B2B"/>
    <w:rsid w:val="445F6864"/>
    <w:rsid w:val="44614A39"/>
    <w:rsid w:val="44660907"/>
    <w:rsid w:val="44677256"/>
    <w:rsid w:val="446E2215"/>
    <w:rsid w:val="446E36E4"/>
    <w:rsid w:val="446F48BE"/>
    <w:rsid w:val="44727DE0"/>
    <w:rsid w:val="44730D26"/>
    <w:rsid w:val="44762A9C"/>
    <w:rsid w:val="447906AD"/>
    <w:rsid w:val="44792B7D"/>
    <w:rsid w:val="447D13CB"/>
    <w:rsid w:val="44811DFB"/>
    <w:rsid w:val="44916D6F"/>
    <w:rsid w:val="44934238"/>
    <w:rsid w:val="44993369"/>
    <w:rsid w:val="449A124B"/>
    <w:rsid w:val="449A2278"/>
    <w:rsid w:val="449A3BBE"/>
    <w:rsid w:val="449F36F0"/>
    <w:rsid w:val="44A153A1"/>
    <w:rsid w:val="44A31503"/>
    <w:rsid w:val="44A41705"/>
    <w:rsid w:val="44A42A17"/>
    <w:rsid w:val="44A53C78"/>
    <w:rsid w:val="44AB7230"/>
    <w:rsid w:val="44AF3118"/>
    <w:rsid w:val="44AF4277"/>
    <w:rsid w:val="44BA0CE9"/>
    <w:rsid w:val="44BA2F8A"/>
    <w:rsid w:val="44C13355"/>
    <w:rsid w:val="44C27F05"/>
    <w:rsid w:val="44D65CFD"/>
    <w:rsid w:val="44E961E2"/>
    <w:rsid w:val="44EB164C"/>
    <w:rsid w:val="44ED33C5"/>
    <w:rsid w:val="44F4601C"/>
    <w:rsid w:val="44F74C0C"/>
    <w:rsid w:val="44F90A00"/>
    <w:rsid w:val="44FB2595"/>
    <w:rsid w:val="450655DE"/>
    <w:rsid w:val="45080466"/>
    <w:rsid w:val="4524750B"/>
    <w:rsid w:val="45286865"/>
    <w:rsid w:val="452B4AF6"/>
    <w:rsid w:val="452B5E55"/>
    <w:rsid w:val="452F2E18"/>
    <w:rsid w:val="4532333B"/>
    <w:rsid w:val="4541568B"/>
    <w:rsid w:val="45500C3F"/>
    <w:rsid w:val="455A35D4"/>
    <w:rsid w:val="45675262"/>
    <w:rsid w:val="45691AFB"/>
    <w:rsid w:val="456E2A10"/>
    <w:rsid w:val="456E2FF2"/>
    <w:rsid w:val="45743CAB"/>
    <w:rsid w:val="4579584D"/>
    <w:rsid w:val="45845D00"/>
    <w:rsid w:val="45871AE5"/>
    <w:rsid w:val="45896527"/>
    <w:rsid w:val="458C06D4"/>
    <w:rsid w:val="459709F5"/>
    <w:rsid w:val="459D66FF"/>
    <w:rsid w:val="459F7C0E"/>
    <w:rsid w:val="45A71D2E"/>
    <w:rsid w:val="45AD646A"/>
    <w:rsid w:val="45B317CF"/>
    <w:rsid w:val="45B50138"/>
    <w:rsid w:val="45B55619"/>
    <w:rsid w:val="45BC136B"/>
    <w:rsid w:val="45C34CC0"/>
    <w:rsid w:val="45C45E98"/>
    <w:rsid w:val="45CB77B5"/>
    <w:rsid w:val="45CF3D0C"/>
    <w:rsid w:val="45D6540C"/>
    <w:rsid w:val="45DA00BF"/>
    <w:rsid w:val="45E87C6B"/>
    <w:rsid w:val="45EB60AB"/>
    <w:rsid w:val="45F234A5"/>
    <w:rsid w:val="45FA1BEA"/>
    <w:rsid w:val="45FC4012"/>
    <w:rsid w:val="45FC4C31"/>
    <w:rsid w:val="4600101F"/>
    <w:rsid w:val="4601021B"/>
    <w:rsid w:val="46055C3D"/>
    <w:rsid w:val="460B5599"/>
    <w:rsid w:val="461C257D"/>
    <w:rsid w:val="46212468"/>
    <w:rsid w:val="46283117"/>
    <w:rsid w:val="462A5404"/>
    <w:rsid w:val="46353B16"/>
    <w:rsid w:val="463B1BA0"/>
    <w:rsid w:val="463B2ADE"/>
    <w:rsid w:val="463C01DF"/>
    <w:rsid w:val="46454F3E"/>
    <w:rsid w:val="464B3947"/>
    <w:rsid w:val="46510D25"/>
    <w:rsid w:val="46532B01"/>
    <w:rsid w:val="46584184"/>
    <w:rsid w:val="46630636"/>
    <w:rsid w:val="4664264C"/>
    <w:rsid w:val="46687376"/>
    <w:rsid w:val="46696D7B"/>
    <w:rsid w:val="46822FF2"/>
    <w:rsid w:val="468431CC"/>
    <w:rsid w:val="46846139"/>
    <w:rsid w:val="468706E8"/>
    <w:rsid w:val="468B73C2"/>
    <w:rsid w:val="46934B28"/>
    <w:rsid w:val="46A75545"/>
    <w:rsid w:val="46AB3E47"/>
    <w:rsid w:val="46AD5953"/>
    <w:rsid w:val="46AD62DE"/>
    <w:rsid w:val="46B34986"/>
    <w:rsid w:val="46B8054D"/>
    <w:rsid w:val="46B861B8"/>
    <w:rsid w:val="46CC70D8"/>
    <w:rsid w:val="46CD4E36"/>
    <w:rsid w:val="46CF0DEB"/>
    <w:rsid w:val="46D4028D"/>
    <w:rsid w:val="46D7105C"/>
    <w:rsid w:val="46DB6A13"/>
    <w:rsid w:val="46DD5FAF"/>
    <w:rsid w:val="46DE7C78"/>
    <w:rsid w:val="46DF5460"/>
    <w:rsid w:val="46EA398E"/>
    <w:rsid w:val="46F14E1C"/>
    <w:rsid w:val="46F431B3"/>
    <w:rsid w:val="46F46934"/>
    <w:rsid w:val="46FD6193"/>
    <w:rsid w:val="470775F3"/>
    <w:rsid w:val="47091A3A"/>
    <w:rsid w:val="471B736C"/>
    <w:rsid w:val="47235B2C"/>
    <w:rsid w:val="472748E0"/>
    <w:rsid w:val="47274DE5"/>
    <w:rsid w:val="472E2DEC"/>
    <w:rsid w:val="473026ED"/>
    <w:rsid w:val="47324C7B"/>
    <w:rsid w:val="4738492A"/>
    <w:rsid w:val="473916F7"/>
    <w:rsid w:val="473A3AD8"/>
    <w:rsid w:val="47461A19"/>
    <w:rsid w:val="474B033A"/>
    <w:rsid w:val="474D6B67"/>
    <w:rsid w:val="474E3CCE"/>
    <w:rsid w:val="474E6EC0"/>
    <w:rsid w:val="475A014C"/>
    <w:rsid w:val="475F52A5"/>
    <w:rsid w:val="47650EFE"/>
    <w:rsid w:val="476E63C6"/>
    <w:rsid w:val="47701E1E"/>
    <w:rsid w:val="47760FEE"/>
    <w:rsid w:val="47766D56"/>
    <w:rsid w:val="478349BA"/>
    <w:rsid w:val="47841F84"/>
    <w:rsid w:val="478C4750"/>
    <w:rsid w:val="478D02EE"/>
    <w:rsid w:val="47913274"/>
    <w:rsid w:val="47931253"/>
    <w:rsid w:val="479333F5"/>
    <w:rsid w:val="47974EBF"/>
    <w:rsid w:val="479B37FB"/>
    <w:rsid w:val="479C0703"/>
    <w:rsid w:val="47A25784"/>
    <w:rsid w:val="47AE368F"/>
    <w:rsid w:val="47BD7E3A"/>
    <w:rsid w:val="47C77300"/>
    <w:rsid w:val="47CB328E"/>
    <w:rsid w:val="47D72108"/>
    <w:rsid w:val="47D754ED"/>
    <w:rsid w:val="47D968A0"/>
    <w:rsid w:val="47E05908"/>
    <w:rsid w:val="47E6279E"/>
    <w:rsid w:val="47E63FE1"/>
    <w:rsid w:val="47E73175"/>
    <w:rsid w:val="47F469EF"/>
    <w:rsid w:val="47F90017"/>
    <w:rsid w:val="47FF24E4"/>
    <w:rsid w:val="47FF743A"/>
    <w:rsid w:val="48147DE1"/>
    <w:rsid w:val="4818087E"/>
    <w:rsid w:val="481967BC"/>
    <w:rsid w:val="481D0901"/>
    <w:rsid w:val="481E4905"/>
    <w:rsid w:val="482A6776"/>
    <w:rsid w:val="48377CE3"/>
    <w:rsid w:val="48393F25"/>
    <w:rsid w:val="48400252"/>
    <w:rsid w:val="48427A4D"/>
    <w:rsid w:val="48446F23"/>
    <w:rsid w:val="48517833"/>
    <w:rsid w:val="48576F86"/>
    <w:rsid w:val="485F0E02"/>
    <w:rsid w:val="48601F1B"/>
    <w:rsid w:val="4860234E"/>
    <w:rsid w:val="48615B6E"/>
    <w:rsid w:val="486457B8"/>
    <w:rsid w:val="486F725D"/>
    <w:rsid w:val="4872228E"/>
    <w:rsid w:val="4884515D"/>
    <w:rsid w:val="48880174"/>
    <w:rsid w:val="488811AB"/>
    <w:rsid w:val="48915121"/>
    <w:rsid w:val="48946E42"/>
    <w:rsid w:val="48963808"/>
    <w:rsid w:val="48983085"/>
    <w:rsid w:val="489A2DBE"/>
    <w:rsid w:val="489C5E9D"/>
    <w:rsid w:val="489E0A6C"/>
    <w:rsid w:val="48A260BC"/>
    <w:rsid w:val="48A330F7"/>
    <w:rsid w:val="48A5260C"/>
    <w:rsid w:val="48A6395B"/>
    <w:rsid w:val="48A74E36"/>
    <w:rsid w:val="48AD72C6"/>
    <w:rsid w:val="48AF3B8C"/>
    <w:rsid w:val="48B3188D"/>
    <w:rsid w:val="48BB47B7"/>
    <w:rsid w:val="48C8522F"/>
    <w:rsid w:val="48D06C71"/>
    <w:rsid w:val="48D23681"/>
    <w:rsid w:val="48DB7460"/>
    <w:rsid w:val="48DC46E1"/>
    <w:rsid w:val="48DD2F42"/>
    <w:rsid w:val="48DF5221"/>
    <w:rsid w:val="48DF6F67"/>
    <w:rsid w:val="48E14DCD"/>
    <w:rsid w:val="48E45A97"/>
    <w:rsid w:val="48E54B2D"/>
    <w:rsid w:val="48EA2311"/>
    <w:rsid w:val="48F3299B"/>
    <w:rsid w:val="48F36F73"/>
    <w:rsid w:val="48F87799"/>
    <w:rsid w:val="48FD5FB6"/>
    <w:rsid w:val="4903303B"/>
    <w:rsid w:val="49142E59"/>
    <w:rsid w:val="491432B2"/>
    <w:rsid w:val="491A1F5D"/>
    <w:rsid w:val="491A7A8B"/>
    <w:rsid w:val="49260120"/>
    <w:rsid w:val="4927154D"/>
    <w:rsid w:val="492B3A51"/>
    <w:rsid w:val="4934122F"/>
    <w:rsid w:val="49442B61"/>
    <w:rsid w:val="494673D9"/>
    <w:rsid w:val="4958594F"/>
    <w:rsid w:val="495B30CC"/>
    <w:rsid w:val="496037A6"/>
    <w:rsid w:val="49617ED5"/>
    <w:rsid w:val="496257F5"/>
    <w:rsid w:val="496D4F56"/>
    <w:rsid w:val="496F6C3C"/>
    <w:rsid w:val="49704B16"/>
    <w:rsid w:val="497C4012"/>
    <w:rsid w:val="49822362"/>
    <w:rsid w:val="49831A30"/>
    <w:rsid w:val="498450C2"/>
    <w:rsid w:val="49870CB8"/>
    <w:rsid w:val="49871D7B"/>
    <w:rsid w:val="499531E3"/>
    <w:rsid w:val="49A61B96"/>
    <w:rsid w:val="49AB5906"/>
    <w:rsid w:val="49B20B48"/>
    <w:rsid w:val="49B55D27"/>
    <w:rsid w:val="49C060D9"/>
    <w:rsid w:val="49C67DAB"/>
    <w:rsid w:val="49D83A18"/>
    <w:rsid w:val="49D8668C"/>
    <w:rsid w:val="49DB3A45"/>
    <w:rsid w:val="49E73C0B"/>
    <w:rsid w:val="49E92B16"/>
    <w:rsid w:val="49EC1B26"/>
    <w:rsid w:val="49ED13AA"/>
    <w:rsid w:val="49FC7FA2"/>
    <w:rsid w:val="49FE278A"/>
    <w:rsid w:val="4A017C98"/>
    <w:rsid w:val="4A080E5C"/>
    <w:rsid w:val="4A1C1EE0"/>
    <w:rsid w:val="4A1E5AFF"/>
    <w:rsid w:val="4A210B7E"/>
    <w:rsid w:val="4A2716CA"/>
    <w:rsid w:val="4A294C7A"/>
    <w:rsid w:val="4A335E86"/>
    <w:rsid w:val="4A357040"/>
    <w:rsid w:val="4A3B0DBF"/>
    <w:rsid w:val="4A3C074A"/>
    <w:rsid w:val="4A3D1BC3"/>
    <w:rsid w:val="4A401246"/>
    <w:rsid w:val="4A417E42"/>
    <w:rsid w:val="4A535B24"/>
    <w:rsid w:val="4A545D35"/>
    <w:rsid w:val="4A5B7FD1"/>
    <w:rsid w:val="4A672F5C"/>
    <w:rsid w:val="4A6C083F"/>
    <w:rsid w:val="4A726BD6"/>
    <w:rsid w:val="4A74295B"/>
    <w:rsid w:val="4A755FA4"/>
    <w:rsid w:val="4A7B6771"/>
    <w:rsid w:val="4A7C187A"/>
    <w:rsid w:val="4A853B44"/>
    <w:rsid w:val="4A89373F"/>
    <w:rsid w:val="4A8E1531"/>
    <w:rsid w:val="4A910C23"/>
    <w:rsid w:val="4A974D5B"/>
    <w:rsid w:val="4A997F8F"/>
    <w:rsid w:val="4A9C2DCD"/>
    <w:rsid w:val="4A9F1ACB"/>
    <w:rsid w:val="4AA05291"/>
    <w:rsid w:val="4AA14390"/>
    <w:rsid w:val="4AA22C7D"/>
    <w:rsid w:val="4AAA4B07"/>
    <w:rsid w:val="4ABA7F00"/>
    <w:rsid w:val="4ABD6D28"/>
    <w:rsid w:val="4AC27264"/>
    <w:rsid w:val="4AC740F5"/>
    <w:rsid w:val="4ACB13CF"/>
    <w:rsid w:val="4ACC69CB"/>
    <w:rsid w:val="4AD06C7D"/>
    <w:rsid w:val="4ADE4335"/>
    <w:rsid w:val="4AF157AF"/>
    <w:rsid w:val="4AF30717"/>
    <w:rsid w:val="4B002C3A"/>
    <w:rsid w:val="4B03068A"/>
    <w:rsid w:val="4B0346BA"/>
    <w:rsid w:val="4B04025E"/>
    <w:rsid w:val="4B045160"/>
    <w:rsid w:val="4B135609"/>
    <w:rsid w:val="4B1C67FA"/>
    <w:rsid w:val="4B206A6B"/>
    <w:rsid w:val="4B3529AA"/>
    <w:rsid w:val="4B3C403E"/>
    <w:rsid w:val="4B4A1E20"/>
    <w:rsid w:val="4B4F3F08"/>
    <w:rsid w:val="4B5B261F"/>
    <w:rsid w:val="4B687FD4"/>
    <w:rsid w:val="4B741C5B"/>
    <w:rsid w:val="4B811257"/>
    <w:rsid w:val="4B816D3B"/>
    <w:rsid w:val="4B821B36"/>
    <w:rsid w:val="4B83233B"/>
    <w:rsid w:val="4B9419F7"/>
    <w:rsid w:val="4B9E2880"/>
    <w:rsid w:val="4BA96810"/>
    <w:rsid w:val="4BAC02EC"/>
    <w:rsid w:val="4BAD645F"/>
    <w:rsid w:val="4BB75525"/>
    <w:rsid w:val="4BBE10A9"/>
    <w:rsid w:val="4BCA7F29"/>
    <w:rsid w:val="4BD62466"/>
    <w:rsid w:val="4BD64F1A"/>
    <w:rsid w:val="4BDF3626"/>
    <w:rsid w:val="4BE23FF0"/>
    <w:rsid w:val="4BE27C81"/>
    <w:rsid w:val="4BED0DF8"/>
    <w:rsid w:val="4C0074CC"/>
    <w:rsid w:val="4C021DD3"/>
    <w:rsid w:val="4C053F9C"/>
    <w:rsid w:val="4C057789"/>
    <w:rsid w:val="4C090003"/>
    <w:rsid w:val="4C0E4DDE"/>
    <w:rsid w:val="4C0F1FA0"/>
    <w:rsid w:val="4C1A44FD"/>
    <w:rsid w:val="4C1D30A7"/>
    <w:rsid w:val="4C222801"/>
    <w:rsid w:val="4C2744DE"/>
    <w:rsid w:val="4C2C0EBD"/>
    <w:rsid w:val="4C366339"/>
    <w:rsid w:val="4C4416FF"/>
    <w:rsid w:val="4C443324"/>
    <w:rsid w:val="4C4A1538"/>
    <w:rsid w:val="4C4B5CF1"/>
    <w:rsid w:val="4C4E507A"/>
    <w:rsid w:val="4C5222E0"/>
    <w:rsid w:val="4C5414D1"/>
    <w:rsid w:val="4C572DDC"/>
    <w:rsid w:val="4C5A1877"/>
    <w:rsid w:val="4C5A1C18"/>
    <w:rsid w:val="4C632EB2"/>
    <w:rsid w:val="4C68078E"/>
    <w:rsid w:val="4C682D54"/>
    <w:rsid w:val="4C69179C"/>
    <w:rsid w:val="4C6C00DD"/>
    <w:rsid w:val="4C6D5048"/>
    <w:rsid w:val="4C734A5D"/>
    <w:rsid w:val="4C750FB7"/>
    <w:rsid w:val="4C763DAD"/>
    <w:rsid w:val="4C7B0F88"/>
    <w:rsid w:val="4C7C25EF"/>
    <w:rsid w:val="4C800721"/>
    <w:rsid w:val="4C83194C"/>
    <w:rsid w:val="4C8E5A77"/>
    <w:rsid w:val="4C907BF3"/>
    <w:rsid w:val="4C922679"/>
    <w:rsid w:val="4C9A62D2"/>
    <w:rsid w:val="4C9D4E3B"/>
    <w:rsid w:val="4CA5226F"/>
    <w:rsid w:val="4CA777A5"/>
    <w:rsid w:val="4CAD1D03"/>
    <w:rsid w:val="4CB00B98"/>
    <w:rsid w:val="4CB77F7C"/>
    <w:rsid w:val="4CBC539D"/>
    <w:rsid w:val="4CBE4327"/>
    <w:rsid w:val="4CCD23D3"/>
    <w:rsid w:val="4CCF711C"/>
    <w:rsid w:val="4CD10F14"/>
    <w:rsid w:val="4CD50CA4"/>
    <w:rsid w:val="4CD652AC"/>
    <w:rsid w:val="4CDE493D"/>
    <w:rsid w:val="4CDF1E61"/>
    <w:rsid w:val="4CE1210C"/>
    <w:rsid w:val="4CE953A1"/>
    <w:rsid w:val="4CEA05FD"/>
    <w:rsid w:val="4CEC147B"/>
    <w:rsid w:val="4CEE2310"/>
    <w:rsid w:val="4CF21274"/>
    <w:rsid w:val="4D074256"/>
    <w:rsid w:val="4D0B4433"/>
    <w:rsid w:val="4D1229CC"/>
    <w:rsid w:val="4D171CA2"/>
    <w:rsid w:val="4D186AB8"/>
    <w:rsid w:val="4D1A5DA8"/>
    <w:rsid w:val="4D243C2E"/>
    <w:rsid w:val="4D2D3744"/>
    <w:rsid w:val="4D2D48CF"/>
    <w:rsid w:val="4D2D7483"/>
    <w:rsid w:val="4D2D7C2A"/>
    <w:rsid w:val="4D357B50"/>
    <w:rsid w:val="4D3B0776"/>
    <w:rsid w:val="4D3B78D6"/>
    <w:rsid w:val="4D3C6DD0"/>
    <w:rsid w:val="4D452E9A"/>
    <w:rsid w:val="4D4915C0"/>
    <w:rsid w:val="4D4E184A"/>
    <w:rsid w:val="4D4E1B73"/>
    <w:rsid w:val="4D5545A3"/>
    <w:rsid w:val="4D56242D"/>
    <w:rsid w:val="4D5742F7"/>
    <w:rsid w:val="4D5E313C"/>
    <w:rsid w:val="4D63794E"/>
    <w:rsid w:val="4D6617DF"/>
    <w:rsid w:val="4D696340"/>
    <w:rsid w:val="4D6E2B65"/>
    <w:rsid w:val="4D717673"/>
    <w:rsid w:val="4D7464F6"/>
    <w:rsid w:val="4D75266B"/>
    <w:rsid w:val="4D780CE4"/>
    <w:rsid w:val="4D7A12F0"/>
    <w:rsid w:val="4D7D74B5"/>
    <w:rsid w:val="4D8412B2"/>
    <w:rsid w:val="4D841638"/>
    <w:rsid w:val="4D8A3A34"/>
    <w:rsid w:val="4D8C2260"/>
    <w:rsid w:val="4D962DD6"/>
    <w:rsid w:val="4D981807"/>
    <w:rsid w:val="4DA7449C"/>
    <w:rsid w:val="4DAD5453"/>
    <w:rsid w:val="4DB20713"/>
    <w:rsid w:val="4DB2548E"/>
    <w:rsid w:val="4DB43700"/>
    <w:rsid w:val="4DB62FA2"/>
    <w:rsid w:val="4DB81350"/>
    <w:rsid w:val="4DB84B5B"/>
    <w:rsid w:val="4DC03E03"/>
    <w:rsid w:val="4DC73AFD"/>
    <w:rsid w:val="4DC945C5"/>
    <w:rsid w:val="4DDB6B69"/>
    <w:rsid w:val="4DE100E7"/>
    <w:rsid w:val="4DE52367"/>
    <w:rsid w:val="4DE961A1"/>
    <w:rsid w:val="4DF57D5B"/>
    <w:rsid w:val="4DF869E7"/>
    <w:rsid w:val="4DFB4AE2"/>
    <w:rsid w:val="4E051EDA"/>
    <w:rsid w:val="4E0A3C50"/>
    <w:rsid w:val="4E0D58F7"/>
    <w:rsid w:val="4E101469"/>
    <w:rsid w:val="4E144EFE"/>
    <w:rsid w:val="4E17118C"/>
    <w:rsid w:val="4E357F6B"/>
    <w:rsid w:val="4E371BF7"/>
    <w:rsid w:val="4E450263"/>
    <w:rsid w:val="4E467BC9"/>
    <w:rsid w:val="4E48023D"/>
    <w:rsid w:val="4E4A43DD"/>
    <w:rsid w:val="4E5C715A"/>
    <w:rsid w:val="4E5E1F38"/>
    <w:rsid w:val="4E5F36B7"/>
    <w:rsid w:val="4E6C617F"/>
    <w:rsid w:val="4E6D4DA7"/>
    <w:rsid w:val="4E6F63DC"/>
    <w:rsid w:val="4E7964A9"/>
    <w:rsid w:val="4E7F10F7"/>
    <w:rsid w:val="4E8B5727"/>
    <w:rsid w:val="4E8D5B77"/>
    <w:rsid w:val="4E9F5822"/>
    <w:rsid w:val="4E9F6EED"/>
    <w:rsid w:val="4EA62C4C"/>
    <w:rsid w:val="4EAB4013"/>
    <w:rsid w:val="4EAD5507"/>
    <w:rsid w:val="4EB37DFC"/>
    <w:rsid w:val="4EB54156"/>
    <w:rsid w:val="4EBC593E"/>
    <w:rsid w:val="4EBE5B79"/>
    <w:rsid w:val="4EBF4430"/>
    <w:rsid w:val="4ECA3468"/>
    <w:rsid w:val="4ECF08A6"/>
    <w:rsid w:val="4ED208AF"/>
    <w:rsid w:val="4ED41154"/>
    <w:rsid w:val="4ED765C7"/>
    <w:rsid w:val="4ED77782"/>
    <w:rsid w:val="4EDF16FC"/>
    <w:rsid w:val="4EEA0EBA"/>
    <w:rsid w:val="4EEC45A6"/>
    <w:rsid w:val="4EED1C0E"/>
    <w:rsid w:val="4EED6A77"/>
    <w:rsid w:val="4EEE7018"/>
    <w:rsid w:val="4EF824C8"/>
    <w:rsid w:val="4EF86446"/>
    <w:rsid w:val="4F0536FA"/>
    <w:rsid w:val="4F0F7DBC"/>
    <w:rsid w:val="4F1003A1"/>
    <w:rsid w:val="4F13577D"/>
    <w:rsid w:val="4F1A0622"/>
    <w:rsid w:val="4F1C158E"/>
    <w:rsid w:val="4F1E4099"/>
    <w:rsid w:val="4F1E74EE"/>
    <w:rsid w:val="4F222296"/>
    <w:rsid w:val="4F242A2C"/>
    <w:rsid w:val="4F242CA2"/>
    <w:rsid w:val="4F2D398B"/>
    <w:rsid w:val="4F312150"/>
    <w:rsid w:val="4F333DDA"/>
    <w:rsid w:val="4F363754"/>
    <w:rsid w:val="4F394923"/>
    <w:rsid w:val="4F3B3972"/>
    <w:rsid w:val="4F3B5033"/>
    <w:rsid w:val="4F4078EF"/>
    <w:rsid w:val="4F4331DE"/>
    <w:rsid w:val="4F4373C1"/>
    <w:rsid w:val="4F442E00"/>
    <w:rsid w:val="4F4B1F01"/>
    <w:rsid w:val="4F515151"/>
    <w:rsid w:val="4F5A2231"/>
    <w:rsid w:val="4F603134"/>
    <w:rsid w:val="4F636456"/>
    <w:rsid w:val="4F7457B4"/>
    <w:rsid w:val="4F7B78F2"/>
    <w:rsid w:val="4F7F2C82"/>
    <w:rsid w:val="4F874785"/>
    <w:rsid w:val="4F885556"/>
    <w:rsid w:val="4F8C1C07"/>
    <w:rsid w:val="4F8C6DE9"/>
    <w:rsid w:val="4F941212"/>
    <w:rsid w:val="4F94645F"/>
    <w:rsid w:val="4F970612"/>
    <w:rsid w:val="4F976963"/>
    <w:rsid w:val="4FA057FA"/>
    <w:rsid w:val="4FA50BF5"/>
    <w:rsid w:val="4FAE1C5C"/>
    <w:rsid w:val="4FB01AB9"/>
    <w:rsid w:val="4FB25F80"/>
    <w:rsid w:val="4FB729C6"/>
    <w:rsid w:val="4FBA0D2B"/>
    <w:rsid w:val="4FBE36FE"/>
    <w:rsid w:val="4FBF63C5"/>
    <w:rsid w:val="4FC35E15"/>
    <w:rsid w:val="4FC67EEA"/>
    <w:rsid w:val="4FCA225C"/>
    <w:rsid w:val="4FCD5F1C"/>
    <w:rsid w:val="4FCF59AE"/>
    <w:rsid w:val="4FD27897"/>
    <w:rsid w:val="4FD72D6F"/>
    <w:rsid w:val="4FDB0443"/>
    <w:rsid w:val="4FDC67FA"/>
    <w:rsid w:val="4FE47BFB"/>
    <w:rsid w:val="4FED181D"/>
    <w:rsid w:val="4FF100DC"/>
    <w:rsid w:val="4FF41CCB"/>
    <w:rsid w:val="4FFC718E"/>
    <w:rsid w:val="50027A32"/>
    <w:rsid w:val="50082EF5"/>
    <w:rsid w:val="500D60A8"/>
    <w:rsid w:val="501251F0"/>
    <w:rsid w:val="50140F0E"/>
    <w:rsid w:val="50174394"/>
    <w:rsid w:val="501A0BBE"/>
    <w:rsid w:val="501A21E0"/>
    <w:rsid w:val="501B6B9C"/>
    <w:rsid w:val="5021442D"/>
    <w:rsid w:val="502226B7"/>
    <w:rsid w:val="502D361C"/>
    <w:rsid w:val="5034215C"/>
    <w:rsid w:val="503A6544"/>
    <w:rsid w:val="503C53AC"/>
    <w:rsid w:val="5046799C"/>
    <w:rsid w:val="504B0A65"/>
    <w:rsid w:val="5050196C"/>
    <w:rsid w:val="505231E4"/>
    <w:rsid w:val="50535CB7"/>
    <w:rsid w:val="505A42A1"/>
    <w:rsid w:val="505B684C"/>
    <w:rsid w:val="50715A85"/>
    <w:rsid w:val="50734618"/>
    <w:rsid w:val="5073496F"/>
    <w:rsid w:val="50892381"/>
    <w:rsid w:val="50984F82"/>
    <w:rsid w:val="509B0639"/>
    <w:rsid w:val="50AD52AF"/>
    <w:rsid w:val="50B66209"/>
    <w:rsid w:val="50B91558"/>
    <w:rsid w:val="50BB34BB"/>
    <w:rsid w:val="50D35D16"/>
    <w:rsid w:val="50D433C9"/>
    <w:rsid w:val="50D444D1"/>
    <w:rsid w:val="50D67365"/>
    <w:rsid w:val="50D93965"/>
    <w:rsid w:val="50D97ACF"/>
    <w:rsid w:val="50DE264E"/>
    <w:rsid w:val="50E40C12"/>
    <w:rsid w:val="50E56C08"/>
    <w:rsid w:val="50EC29BF"/>
    <w:rsid w:val="50F26C11"/>
    <w:rsid w:val="50F67EBD"/>
    <w:rsid w:val="510346A0"/>
    <w:rsid w:val="511462DE"/>
    <w:rsid w:val="511934F5"/>
    <w:rsid w:val="511A650A"/>
    <w:rsid w:val="511D39C8"/>
    <w:rsid w:val="51205F70"/>
    <w:rsid w:val="51211654"/>
    <w:rsid w:val="512D7FCC"/>
    <w:rsid w:val="512F2FAD"/>
    <w:rsid w:val="51393A83"/>
    <w:rsid w:val="513B3DF9"/>
    <w:rsid w:val="513F4B97"/>
    <w:rsid w:val="51401B57"/>
    <w:rsid w:val="51480A97"/>
    <w:rsid w:val="515934C1"/>
    <w:rsid w:val="51741E6C"/>
    <w:rsid w:val="51756972"/>
    <w:rsid w:val="517A63F0"/>
    <w:rsid w:val="517E1E1F"/>
    <w:rsid w:val="51813564"/>
    <w:rsid w:val="51844B36"/>
    <w:rsid w:val="518B1B6A"/>
    <w:rsid w:val="518B739B"/>
    <w:rsid w:val="519410BA"/>
    <w:rsid w:val="51965D8A"/>
    <w:rsid w:val="519E7457"/>
    <w:rsid w:val="519F1F6B"/>
    <w:rsid w:val="51A05A23"/>
    <w:rsid w:val="51AB65B4"/>
    <w:rsid w:val="51B43931"/>
    <w:rsid w:val="51BA76CA"/>
    <w:rsid w:val="51BC09C0"/>
    <w:rsid w:val="51BD7EC2"/>
    <w:rsid w:val="51C07BA0"/>
    <w:rsid w:val="51C44E72"/>
    <w:rsid w:val="51C65BC0"/>
    <w:rsid w:val="51CC7C75"/>
    <w:rsid w:val="51D34DB4"/>
    <w:rsid w:val="51D86915"/>
    <w:rsid w:val="51DA0FA7"/>
    <w:rsid w:val="51DF7774"/>
    <w:rsid w:val="51E33805"/>
    <w:rsid w:val="51EC7A89"/>
    <w:rsid w:val="51F950A0"/>
    <w:rsid w:val="51F967B6"/>
    <w:rsid w:val="52013C23"/>
    <w:rsid w:val="52022324"/>
    <w:rsid w:val="5205030D"/>
    <w:rsid w:val="52161438"/>
    <w:rsid w:val="52180389"/>
    <w:rsid w:val="521B4203"/>
    <w:rsid w:val="5228188A"/>
    <w:rsid w:val="522A6770"/>
    <w:rsid w:val="522B75AE"/>
    <w:rsid w:val="522F191C"/>
    <w:rsid w:val="52363194"/>
    <w:rsid w:val="52365463"/>
    <w:rsid w:val="52460689"/>
    <w:rsid w:val="5247336B"/>
    <w:rsid w:val="524A5C68"/>
    <w:rsid w:val="52532968"/>
    <w:rsid w:val="52546140"/>
    <w:rsid w:val="525D3774"/>
    <w:rsid w:val="525F3DCF"/>
    <w:rsid w:val="525F53B1"/>
    <w:rsid w:val="52734368"/>
    <w:rsid w:val="52836832"/>
    <w:rsid w:val="52843C38"/>
    <w:rsid w:val="528D6C4E"/>
    <w:rsid w:val="529A7E86"/>
    <w:rsid w:val="52A226E4"/>
    <w:rsid w:val="52AD4907"/>
    <w:rsid w:val="52AE7568"/>
    <w:rsid w:val="52B378D5"/>
    <w:rsid w:val="52B63DBD"/>
    <w:rsid w:val="52B916BC"/>
    <w:rsid w:val="52BF41DD"/>
    <w:rsid w:val="52CB74EB"/>
    <w:rsid w:val="52CC7AB7"/>
    <w:rsid w:val="52CD24D8"/>
    <w:rsid w:val="52CE6819"/>
    <w:rsid w:val="52CF576A"/>
    <w:rsid w:val="52D02BD7"/>
    <w:rsid w:val="52DA3F13"/>
    <w:rsid w:val="52DB6A07"/>
    <w:rsid w:val="52E838BE"/>
    <w:rsid w:val="52F42816"/>
    <w:rsid w:val="52FE47A9"/>
    <w:rsid w:val="5305168A"/>
    <w:rsid w:val="53063DBD"/>
    <w:rsid w:val="530A4B3F"/>
    <w:rsid w:val="53161010"/>
    <w:rsid w:val="53172A50"/>
    <w:rsid w:val="531A546B"/>
    <w:rsid w:val="532225EA"/>
    <w:rsid w:val="53240747"/>
    <w:rsid w:val="532522FD"/>
    <w:rsid w:val="53275C7D"/>
    <w:rsid w:val="53311BF2"/>
    <w:rsid w:val="53456AB3"/>
    <w:rsid w:val="534718C6"/>
    <w:rsid w:val="53496F02"/>
    <w:rsid w:val="534D106F"/>
    <w:rsid w:val="534F4759"/>
    <w:rsid w:val="53554773"/>
    <w:rsid w:val="53624B78"/>
    <w:rsid w:val="536D1FA0"/>
    <w:rsid w:val="536E38B7"/>
    <w:rsid w:val="53772DC7"/>
    <w:rsid w:val="537920B8"/>
    <w:rsid w:val="537E6A3D"/>
    <w:rsid w:val="5381746B"/>
    <w:rsid w:val="538459BE"/>
    <w:rsid w:val="538E4601"/>
    <w:rsid w:val="53916407"/>
    <w:rsid w:val="5397293F"/>
    <w:rsid w:val="5399565B"/>
    <w:rsid w:val="539B4140"/>
    <w:rsid w:val="53A065E4"/>
    <w:rsid w:val="53A1457E"/>
    <w:rsid w:val="53A7772A"/>
    <w:rsid w:val="53B151E7"/>
    <w:rsid w:val="53B5455A"/>
    <w:rsid w:val="53BB16B1"/>
    <w:rsid w:val="53BB4E26"/>
    <w:rsid w:val="53BF3327"/>
    <w:rsid w:val="53C370E1"/>
    <w:rsid w:val="53C457C1"/>
    <w:rsid w:val="53CA5F75"/>
    <w:rsid w:val="53CC1775"/>
    <w:rsid w:val="53D221BC"/>
    <w:rsid w:val="53D260C2"/>
    <w:rsid w:val="53D31BF0"/>
    <w:rsid w:val="53D547DC"/>
    <w:rsid w:val="53DA4787"/>
    <w:rsid w:val="53DC05C0"/>
    <w:rsid w:val="53E96863"/>
    <w:rsid w:val="53EC6CC0"/>
    <w:rsid w:val="53F766D2"/>
    <w:rsid w:val="53F972C7"/>
    <w:rsid w:val="53FC6CB5"/>
    <w:rsid w:val="54022730"/>
    <w:rsid w:val="54047327"/>
    <w:rsid w:val="540C7023"/>
    <w:rsid w:val="541510B4"/>
    <w:rsid w:val="541511E9"/>
    <w:rsid w:val="541B31F9"/>
    <w:rsid w:val="54247E64"/>
    <w:rsid w:val="54287B8E"/>
    <w:rsid w:val="542D6B57"/>
    <w:rsid w:val="542E5FF9"/>
    <w:rsid w:val="54332FCB"/>
    <w:rsid w:val="54372B10"/>
    <w:rsid w:val="543966E9"/>
    <w:rsid w:val="543C5229"/>
    <w:rsid w:val="54412BF0"/>
    <w:rsid w:val="54422EDA"/>
    <w:rsid w:val="544417C9"/>
    <w:rsid w:val="54475EA1"/>
    <w:rsid w:val="54514458"/>
    <w:rsid w:val="545F158C"/>
    <w:rsid w:val="546A78D3"/>
    <w:rsid w:val="54767E31"/>
    <w:rsid w:val="54781903"/>
    <w:rsid w:val="54830D4F"/>
    <w:rsid w:val="548A1E4E"/>
    <w:rsid w:val="548D2275"/>
    <w:rsid w:val="548D289E"/>
    <w:rsid w:val="54910BA4"/>
    <w:rsid w:val="549A0616"/>
    <w:rsid w:val="549B20E6"/>
    <w:rsid w:val="54A60315"/>
    <w:rsid w:val="54B86248"/>
    <w:rsid w:val="54C24B82"/>
    <w:rsid w:val="54C50B9C"/>
    <w:rsid w:val="54CA3C93"/>
    <w:rsid w:val="54CF71CB"/>
    <w:rsid w:val="54D00FCE"/>
    <w:rsid w:val="54D43A08"/>
    <w:rsid w:val="54D51870"/>
    <w:rsid w:val="54E06C11"/>
    <w:rsid w:val="54E21F4F"/>
    <w:rsid w:val="54E925A9"/>
    <w:rsid w:val="54E95BA4"/>
    <w:rsid w:val="551908BF"/>
    <w:rsid w:val="551C09C8"/>
    <w:rsid w:val="551D6F44"/>
    <w:rsid w:val="55213B26"/>
    <w:rsid w:val="55234196"/>
    <w:rsid w:val="552524A9"/>
    <w:rsid w:val="5525367A"/>
    <w:rsid w:val="552649EB"/>
    <w:rsid w:val="55270ECD"/>
    <w:rsid w:val="552924E6"/>
    <w:rsid w:val="552D7D08"/>
    <w:rsid w:val="55327DE8"/>
    <w:rsid w:val="55353746"/>
    <w:rsid w:val="5536380F"/>
    <w:rsid w:val="55396816"/>
    <w:rsid w:val="553A166A"/>
    <w:rsid w:val="553D4D07"/>
    <w:rsid w:val="554D7803"/>
    <w:rsid w:val="55516532"/>
    <w:rsid w:val="555B1111"/>
    <w:rsid w:val="555B2944"/>
    <w:rsid w:val="55614B24"/>
    <w:rsid w:val="55694AF9"/>
    <w:rsid w:val="556E0538"/>
    <w:rsid w:val="556F7E62"/>
    <w:rsid w:val="556F7F43"/>
    <w:rsid w:val="5576748A"/>
    <w:rsid w:val="55784732"/>
    <w:rsid w:val="55792861"/>
    <w:rsid w:val="557E71FE"/>
    <w:rsid w:val="5584057B"/>
    <w:rsid w:val="558D5021"/>
    <w:rsid w:val="558F35A7"/>
    <w:rsid w:val="55927D1F"/>
    <w:rsid w:val="5596101D"/>
    <w:rsid w:val="55985654"/>
    <w:rsid w:val="55A35F7F"/>
    <w:rsid w:val="55B85ACE"/>
    <w:rsid w:val="55B952E9"/>
    <w:rsid w:val="55BE6A5B"/>
    <w:rsid w:val="55C2581B"/>
    <w:rsid w:val="55C60B6B"/>
    <w:rsid w:val="55C94D7A"/>
    <w:rsid w:val="55D025DF"/>
    <w:rsid w:val="55D0561A"/>
    <w:rsid w:val="55D37AAE"/>
    <w:rsid w:val="55D6364E"/>
    <w:rsid w:val="55D63A47"/>
    <w:rsid w:val="55DD29FE"/>
    <w:rsid w:val="55E02E0B"/>
    <w:rsid w:val="55E77B0B"/>
    <w:rsid w:val="55EE3558"/>
    <w:rsid w:val="55F8394B"/>
    <w:rsid w:val="55FC1DF1"/>
    <w:rsid w:val="55FD5512"/>
    <w:rsid w:val="55FD6C2D"/>
    <w:rsid w:val="5602472C"/>
    <w:rsid w:val="56090685"/>
    <w:rsid w:val="560B1611"/>
    <w:rsid w:val="561117B5"/>
    <w:rsid w:val="56195327"/>
    <w:rsid w:val="561978EB"/>
    <w:rsid w:val="561D0938"/>
    <w:rsid w:val="56254844"/>
    <w:rsid w:val="562C48A4"/>
    <w:rsid w:val="562E289A"/>
    <w:rsid w:val="5635337A"/>
    <w:rsid w:val="5639222C"/>
    <w:rsid w:val="563B1048"/>
    <w:rsid w:val="5649734E"/>
    <w:rsid w:val="564E3688"/>
    <w:rsid w:val="56514294"/>
    <w:rsid w:val="56581695"/>
    <w:rsid w:val="566355DD"/>
    <w:rsid w:val="56662DA4"/>
    <w:rsid w:val="56680BC9"/>
    <w:rsid w:val="566926ED"/>
    <w:rsid w:val="567043C4"/>
    <w:rsid w:val="567119B3"/>
    <w:rsid w:val="567F4D05"/>
    <w:rsid w:val="56801A4D"/>
    <w:rsid w:val="56855A57"/>
    <w:rsid w:val="568A756D"/>
    <w:rsid w:val="568F72CF"/>
    <w:rsid w:val="56932515"/>
    <w:rsid w:val="569C7055"/>
    <w:rsid w:val="56A64E42"/>
    <w:rsid w:val="56A84128"/>
    <w:rsid w:val="56AC31BC"/>
    <w:rsid w:val="56B20B45"/>
    <w:rsid w:val="56B2689B"/>
    <w:rsid w:val="56B635AB"/>
    <w:rsid w:val="56BF1F76"/>
    <w:rsid w:val="56C0283E"/>
    <w:rsid w:val="56C05533"/>
    <w:rsid w:val="56D418EA"/>
    <w:rsid w:val="56D43345"/>
    <w:rsid w:val="56DF6E7F"/>
    <w:rsid w:val="56E365E9"/>
    <w:rsid w:val="56EB4412"/>
    <w:rsid w:val="56F418BC"/>
    <w:rsid w:val="57005E0B"/>
    <w:rsid w:val="57024A7F"/>
    <w:rsid w:val="570C2BE8"/>
    <w:rsid w:val="570D00B1"/>
    <w:rsid w:val="571369AE"/>
    <w:rsid w:val="57212288"/>
    <w:rsid w:val="57273EC6"/>
    <w:rsid w:val="57320543"/>
    <w:rsid w:val="5736577A"/>
    <w:rsid w:val="573C2D65"/>
    <w:rsid w:val="573D0DE5"/>
    <w:rsid w:val="57405EA8"/>
    <w:rsid w:val="574940F5"/>
    <w:rsid w:val="575163DC"/>
    <w:rsid w:val="57564B03"/>
    <w:rsid w:val="57576764"/>
    <w:rsid w:val="575A3FA8"/>
    <w:rsid w:val="575D1406"/>
    <w:rsid w:val="575D7DC0"/>
    <w:rsid w:val="575F724B"/>
    <w:rsid w:val="57646E8D"/>
    <w:rsid w:val="57647D03"/>
    <w:rsid w:val="576E7D00"/>
    <w:rsid w:val="57714C0A"/>
    <w:rsid w:val="577269D1"/>
    <w:rsid w:val="57784EBE"/>
    <w:rsid w:val="577C7F69"/>
    <w:rsid w:val="577D2D1B"/>
    <w:rsid w:val="578474C5"/>
    <w:rsid w:val="57883154"/>
    <w:rsid w:val="578F659F"/>
    <w:rsid w:val="57910A21"/>
    <w:rsid w:val="57945000"/>
    <w:rsid w:val="5795251B"/>
    <w:rsid w:val="579677D0"/>
    <w:rsid w:val="57984454"/>
    <w:rsid w:val="579C47BB"/>
    <w:rsid w:val="579D6CE4"/>
    <w:rsid w:val="579F608F"/>
    <w:rsid w:val="57A14D1F"/>
    <w:rsid w:val="57A91D3B"/>
    <w:rsid w:val="57A956AE"/>
    <w:rsid w:val="57AD63CA"/>
    <w:rsid w:val="57B12D5D"/>
    <w:rsid w:val="57B55AA5"/>
    <w:rsid w:val="57BF4BA2"/>
    <w:rsid w:val="57C0641D"/>
    <w:rsid w:val="57C648C9"/>
    <w:rsid w:val="57C931DC"/>
    <w:rsid w:val="57D20BE2"/>
    <w:rsid w:val="57D35A44"/>
    <w:rsid w:val="57D5434D"/>
    <w:rsid w:val="57E36625"/>
    <w:rsid w:val="57ED1BC5"/>
    <w:rsid w:val="57F4119B"/>
    <w:rsid w:val="57F85B18"/>
    <w:rsid w:val="57F90575"/>
    <w:rsid w:val="57FA183A"/>
    <w:rsid w:val="57FE3336"/>
    <w:rsid w:val="580014A4"/>
    <w:rsid w:val="5809397E"/>
    <w:rsid w:val="580E43B2"/>
    <w:rsid w:val="58127039"/>
    <w:rsid w:val="58171D79"/>
    <w:rsid w:val="581C076D"/>
    <w:rsid w:val="58222FD2"/>
    <w:rsid w:val="58397B39"/>
    <w:rsid w:val="58407313"/>
    <w:rsid w:val="58463E71"/>
    <w:rsid w:val="584A0C32"/>
    <w:rsid w:val="585501BC"/>
    <w:rsid w:val="58550B07"/>
    <w:rsid w:val="58577099"/>
    <w:rsid w:val="586250A0"/>
    <w:rsid w:val="58650C5B"/>
    <w:rsid w:val="5872241A"/>
    <w:rsid w:val="58744E3C"/>
    <w:rsid w:val="587527DD"/>
    <w:rsid w:val="587F05FE"/>
    <w:rsid w:val="58801755"/>
    <w:rsid w:val="5887384E"/>
    <w:rsid w:val="58875D05"/>
    <w:rsid w:val="588860C9"/>
    <w:rsid w:val="588A35D7"/>
    <w:rsid w:val="588E3612"/>
    <w:rsid w:val="588E3CDF"/>
    <w:rsid w:val="588F53BA"/>
    <w:rsid w:val="58964DC2"/>
    <w:rsid w:val="589A1D5C"/>
    <w:rsid w:val="58A011FE"/>
    <w:rsid w:val="58A1709A"/>
    <w:rsid w:val="58A7270C"/>
    <w:rsid w:val="58A940D5"/>
    <w:rsid w:val="58AB17F1"/>
    <w:rsid w:val="58B03B1D"/>
    <w:rsid w:val="58B05216"/>
    <w:rsid w:val="58B35066"/>
    <w:rsid w:val="58B74DA2"/>
    <w:rsid w:val="58BC532E"/>
    <w:rsid w:val="58C67760"/>
    <w:rsid w:val="58C72F25"/>
    <w:rsid w:val="58C85514"/>
    <w:rsid w:val="58CA5531"/>
    <w:rsid w:val="58CB0FB1"/>
    <w:rsid w:val="58D25899"/>
    <w:rsid w:val="58D96A4C"/>
    <w:rsid w:val="58DB5028"/>
    <w:rsid w:val="58DE171B"/>
    <w:rsid w:val="58EF30D7"/>
    <w:rsid w:val="58F35AE7"/>
    <w:rsid w:val="58F36460"/>
    <w:rsid w:val="58F417E6"/>
    <w:rsid w:val="58F70CD1"/>
    <w:rsid w:val="58FA52BE"/>
    <w:rsid w:val="59037DF7"/>
    <w:rsid w:val="59045EB2"/>
    <w:rsid w:val="59064C56"/>
    <w:rsid w:val="590A5CB9"/>
    <w:rsid w:val="590B15C1"/>
    <w:rsid w:val="590C6777"/>
    <w:rsid w:val="59110DE1"/>
    <w:rsid w:val="5914243C"/>
    <w:rsid w:val="591531CC"/>
    <w:rsid w:val="591B200C"/>
    <w:rsid w:val="592171CD"/>
    <w:rsid w:val="592A6839"/>
    <w:rsid w:val="593712A6"/>
    <w:rsid w:val="59376AEA"/>
    <w:rsid w:val="59384413"/>
    <w:rsid w:val="59391116"/>
    <w:rsid w:val="594065A5"/>
    <w:rsid w:val="59407EC1"/>
    <w:rsid w:val="59451BF5"/>
    <w:rsid w:val="595719C7"/>
    <w:rsid w:val="595D7276"/>
    <w:rsid w:val="59607CB3"/>
    <w:rsid w:val="59643A9B"/>
    <w:rsid w:val="59674983"/>
    <w:rsid w:val="596919E9"/>
    <w:rsid w:val="59695EEC"/>
    <w:rsid w:val="596D487C"/>
    <w:rsid w:val="597556DD"/>
    <w:rsid w:val="597A22E5"/>
    <w:rsid w:val="597A6EA9"/>
    <w:rsid w:val="597C717A"/>
    <w:rsid w:val="5980432D"/>
    <w:rsid w:val="5983545D"/>
    <w:rsid w:val="5985694B"/>
    <w:rsid w:val="59887BB7"/>
    <w:rsid w:val="598A376B"/>
    <w:rsid w:val="598E22C4"/>
    <w:rsid w:val="598E55A6"/>
    <w:rsid w:val="598F1E9B"/>
    <w:rsid w:val="598F2DB5"/>
    <w:rsid w:val="59926A9E"/>
    <w:rsid w:val="5993302C"/>
    <w:rsid w:val="599629CD"/>
    <w:rsid w:val="59965F9B"/>
    <w:rsid w:val="599B2CE8"/>
    <w:rsid w:val="599B3B07"/>
    <w:rsid w:val="59A50760"/>
    <w:rsid w:val="59A50B4A"/>
    <w:rsid w:val="59B0657C"/>
    <w:rsid w:val="59B37F17"/>
    <w:rsid w:val="59B52188"/>
    <w:rsid w:val="59B63DB2"/>
    <w:rsid w:val="59BC3C55"/>
    <w:rsid w:val="59BF7E9B"/>
    <w:rsid w:val="59C03269"/>
    <w:rsid w:val="59C47DE4"/>
    <w:rsid w:val="59C84F6E"/>
    <w:rsid w:val="59D042FF"/>
    <w:rsid w:val="59D04A11"/>
    <w:rsid w:val="59D25188"/>
    <w:rsid w:val="59DF7148"/>
    <w:rsid w:val="59F0404C"/>
    <w:rsid w:val="59F141F6"/>
    <w:rsid w:val="59FF3986"/>
    <w:rsid w:val="5A035174"/>
    <w:rsid w:val="5A16478D"/>
    <w:rsid w:val="5A307F24"/>
    <w:rsid w:val="5A3559F8"/>
    <w:rsid w:val="5A3F48E3"/>
    <w:rsid w:val="5A423A2B"/>
    <w:rsid w:val="5A441EE2"/>
    <w:rsid w:val="5A445E91"/>
    <w:rsid w:val="5A464D3F"/>
    <w:rsid w:val="5A465251"/>
    <w:rsid w:val="5A474346"/>
    <w:rsid w:val="5A484453"/>
    <w:rsid w:val="5A4957FA"/>
    <w:rsid w:val="5A5128B7"/>
    <w:rsid w:val="5A622269"/>
    <w:rsid w:val="5A6C627E"/>
    <w:rsid w:val="5A7E727D"/>
    <w:rsid w:val="5A7F6ABA"/>
    <w:rsid w:val="5A804900"/>
    <w:rsid w:val="5A822B02"/>
    <w:rsid w:val="5A8544A5"/>
    <w:rsid w:val="5A86511B"/>
    <w:rsid w:val="5A891233"/>
    <w:rsid w:val="5A892D67"/>
    <w:rsid w:val="5A8F3D71"/>
    <w:rsid w:val="5A981732"/>
    <w:rsid w:val="5A9D5626"/>
    <w:rsid w:val="5AA77EBD"/>
    <w:rsid w:val="5AAB3608"/>
    <w:rsid w:val="5AAD115C"/>
    <w:rsid w:val="5AB143A8"/>
    <w:rsid w:val="5AB362B7"/>
    <w:rsid w:val="5AB55C9B"/>
    <w:rsid w:val="5ABE2DB3"/>
    <w:rsid w:val="5AC4568B"/>
    <w:rsid w:val="5AC465B0"/>
    <w:rsid w:val="5AC9126A"/>
    <w:rsid w:val="5ACB4402"/>
    <w:rsid w:val="5ACD5F94"/>
    <w:rsid w:val="5ACF6977"/>
    <w:rsid w:val="5AD140B1"/>
    <w:rsid w:val="5AD8352B"/>
    <w:rsid w:val="5ADB66A2"/>
    <w:rsid w:val="5ADC54ED"/>
    <w:rsid w:val="5AE627DD"/>
    <w:rsid w:val="5AE65AC1"/>
    <w:rsid w:val="5AE86727"/>
    <w:rsid w:val="5AED60B1"/>
    <w:rsid w:val="5AF10757"/>
    <w:rsid w:val="5AF70F88"/>
    <w:rsid w:val="5AFC65C6"/>
    <w:rsid w:val="5AFE4E4F"/>
    <w:rsid w:val="5AFF4230"/>
    <w:rsid w:val="5B001867"/>
    <w:rsid w:val="5B027F64"/>
    <w:rsid w:val="5B043ACD"/>
    <w:rsid w:val="5B0D44D7"/>
    <w:rsid w:val="5B160FD4"/>
    <w:rsid w:val="5B1641FE"/>
    <w:rsid w:val="5B1A00B4"/>
    <w:rsid w:val="5B1D0B7B"/>
    <w:rsid w:val="5B1F372F"/>
    <w:rsid w:val="5B204147"/>
    <w:rsid w:val="5B23145A"/>
    <w:rsid w:val="5B250051"/>
    <w:rsid w:val="5B3079B1"/>
    <w:rsid w:val="5B3C26CD"/>
    <w:rsid w:val="5B3F21E8"/>
    <w:rsid w:val="5B3F35C5"/>
    <w:rsid w:val="5B3F6C62"/>
    <w:rsid w:val="5B462C87"/>
    <w:rsid w:val="5B467A3A"/>
    <w:rsid w:val="5B484384"/>
    <w:rsid w:val="5B576288"/>
    <w:rsid w:val="5B595136"/>
    <w:rsid w:val="5B663AED"/>
    <w:rsid w:val="5B67361B"/>
    <w:rsid w:val="5B69795A"/>
    <w:rsid w:val="5B6F1970"/>
    <w:rsid w:val="5B72043B"/>
    <w:rsid w:val="5B7E1425"/>
    <w:rsid w:val="5B7E573E"/>
    <w:rsid w:val="5B822E9B"/>
    <w:rsid w:val="5B893FE8"/>
    <w:rsid w:val="5B931939"/>
    <w:rsid w:val="5B96388B"/>
    <w:rsid w:val="5B9C7EC8"/>
    <w:rsid w:val="5B9E66F6"/>
    <w:rsid w:val="5BA21FBD"/>
    <w:rsid w:val="5BAB73C4"/>
    <w:rsid w:val="5BAE17A2"/>
    <w:rsid w:val="5BAF0D57"/>
    <w:rsid w:val="5BB32A6C"/>
    <w:rsid w:val="5BB667F9"/>
    <w:rsid w:val="5BBC3894"/>
    <w:rsid w:val="5BBC7CD9"/>
    <w:rsid w:val="5BC207F8"/>
    <w:rsid w:val="5BC723A4"/>
    <w:rsid w:val="5BCC69A3"/>
    <w:rsid w:val="5BCF7BF9"/>
    <w:rsid w:val="5BD24F92"/>
    <w:rsid w:val="5BD45122"/>
    <w:rsid w:val="5BD90725"/>
    <w:rsid w:val="5BDB30C2"/>
    <w:rsid w:val="5BDB68AA"/>
    <w:rsid w:val="5BE06C40"/>
    <w:rsid w:val="5BE6132E"/>
    <w:rsid w:val="5BEB0994"/>
    <w:rsid w:val="5BEB711B"/>
    <w:rsid w:val="5BF069A9"/>
    <w:rsid w:val="5BF2577B"/>
    <w:rsid w:val="5BFF68A2"/>
    <w:rsid w:val="5C010EEF"/>
    <w:rsid w:val="5C0D1FAC"/>
    <w:rsid w:val="5C0F3C27"/>
    <w:rsid w:val="5C152995"/>
    <w:rsid w:val="5C1A0B69"/>
    <w:rsid w:val="5C1C7AB3"/>
    <w:rsid w:val="5C211B28"/>
    <w:rsid w:val="5C2C51CA"/>
    <w:rsid w:val="5C2E0ABA"/>
    <w:rsid w:val="5C313602"/>
    <w:rsid w:val="5C3E73FE"/>
    <w:rsid w:val="5C4302AF"/>
    <w:rsid w:val="5C496E06"/>
    <w:rsid w:val="5C501594"/>
    <w:rsid w:val="5C574D75"/>
    <w:rsid w:val="5C5D5D6D"/>
    <w:rsid w:val="5C63455C"/>
    <w:rsid w:val="5C690B0C"/>
    <w:rsid w:val="5C7103F1"/>
    <w:rsid w:val="5C7C5E2E"/>
    <w:rsid w:val="5C8E4677"/>
    <w:rsid w:val="5C8E4D46"/>
    <w:rsid w:val="5C911EB8"/>
    <w:rsid w:val="5C945015"/>
    <w:rsid w:val="5C945717"/>
    <w:rsid w:val="5C985759"/>
    <w:rsid w:val="5C9E0390"/>
    <w:rsid w:val="5CA15E2E"/>
    <w:rsid w:val="5CA82D14"/>
    <w:rsid w:val="5CB10CFF"/>
    <w:rsid w:val="5CB758DF"/>
    <w:rsid w:val="5CBA28DD"/>
    <w:rsid w:val="5CBE0B0E"/>
    <w:rsid w:val="5CCA2082"/>
    <w:rsid w:val="5CD228A4"/>
    <w:rsid w:val="5CD43D55"/>
    <w:rsid w:val="5CD60FB2"/>
    <w:rsid w:val="5CD73EA1"/>
    <w:rsid w:val="5CDD4918"/>
    <w:rsid w:val="5CE35510"/>
    <w:rsid w:val="5CE87597"/>
    <w:rsid w:val="5CEA0714"/>
    <w:rsid w:val="5CF41F2C"/>
    <w:rsid w:val="5CFE554A"/>
    <w:rsid w:val="5D1102F0"/>
    <w:rsid w:val="5D1315D5"/>
    <w:rsid w:val="5D141871"/>
    <w:rsid w:val="5D1E10C8"/>
    <w:rsid w:val="5D241D0D"/>
    <w:rsid w:val="5D250ACE"/>
    <w:rsid w:val="5D2853F4"/>
    <w:rsid w:val="5D287792"/>
    <w:rsid w:val="5D2C7B52"/>
    <w:rsid w:val="5D403759"/>
    <w:rsid w:val="5D405301"/>
    <w:rsid w:val="5D47432B"/>
    <w:rsid w:val="5D4A3B3F"/>
    <w:rsid w:val="5D545032"/>
    <w:rsid w:val="5D680387"/>
    <w:rsid w:val="5D6D5C66"/>
    <w:rsid w:val="5D7206A1"/>
    <w:rsid w:val="5D740B52"/>
    <w:rsid w:val="5D755F99"/>
    <w:rsid w:val="5D7656F6"/>
    <w:rsid w:val="5D782CF4"/>
    <w:rsid w:val="5D7B75BA"/>
    <w:rsid w:val="5D7E3940"/>
    <w:rsid w:val="5D850140"/>
    <w:rsid w:val="5D8F323A"/>
    <w:rsid w:val="5D91249B"/>
    <w:rsid w:val="5D9658FD"/>
    <w:rsid w:val="5D980180"/>
    <w:rsid w:val="5DA13035"/>
    <w:rsid w:val="5DA52F02"/>
    <w:rsid w:val="5DA81A7E"/>
    <w:rsid w:val="5DB04DE9"/>
    <w:rsid w:val="5DB2760F"/>
    <w:rsid w:val="5DB76529"/>
    <w:rsid w:val="5DBF0827"/>
    <w:rsid w:val="5DC0151D"/>
    <w:rsid w:val="5DC23C9E"/>
    <w:rsid w:val="5DCE4D4E"/>
    <w:rsid w:val="5DD02444"/>
    <w:rsid w:val="5DD30C3F"/>
    <w:rsid w:val="5DDC52FB"/>
    <w:rsid w:val="5DE00370"/>
    <w:rsid w:val="5DE20BD2"/>
    <w:rsid w:val="5DE24087"/>
    <w:rsid w:val="5DE26ACA"/>
    <w:rsid w:val="5DE97BB9"/>
    <w:rsid w:val="5DEA787A"/>
    <w:rsid w:val="5DEE40C9"/>
    <w:rsid w:val="5DEE4F56"/>
    <w:rsid w:val="5DF23E5C"/>
    <w:rsid w:val="5DF86C4B"/>
    <w:rsid w:val="5DF946B2"/>
    <w:rsid w:val="5DFA04F6"/>
    <w:rsid w:val="5DFF3B87"/>
    <w:rsid w:val="5E034523"/>
    <w:rsid w:val="5E090D92"/>
    <w:rsid w:val="5E0F732F"/>
    <w:rsid w:val="5E146038"/>
    <w:rsid w:val="5E177072"/>
    <w:rsid w:val="5E2D2F8F"/>
    <w:rsid w:val="5E2F7276"/>
    <w:rsid w:val="5E323D1F"/>
    <w:rsid w:val="5E335822"/>
    <w:rsid w:val="5E3C1695"/>
    <w:rsid w:val="5E404195"/>
    <w:rsid w:val="5E407912"/>
    <w:rsid w:val="5E4B57BE"/>
    <w:rsid w:val="5E4D475B"/>
    <w:rsid w:val="5E511FF2"/>
    <w:rsid w:val="5E571A00"/>
    <w:rsid w:val="5E585064"/>
    <w:rsid w:val="5E5E337E"/>
    <w:rsid w:val="5E610076"/>
    <w:rsid w:val="5E6177B3"/>
    <w:rsid w:val="5E623C9A"/>
    <w:rsid w:val="5E663BDB"/>
    <w:rsid w:val="5E6C2656"/>
    <w:rsid w:val="5E6E0941"/>
    <w:rsid w:val="5E6E3701"/>
    <w:rsid w:val="5E734528"/>
    <w:rsid w:val="5E74323A"/>
    <w:rsid w:val="5E7D29BD"/>
    <w:rsid w:val="5E8175BA"/>
    <w:rsid w:val="5E863851"/>
    <w:rsid w:val="5E8B64B9"/>
    <w:rsid w:val="5E923E46"/>
    <w:rsid w:val="5EA06EB3"/>
    <w:rsid w:val="5EA140CB"/>
    <w:rsid w:val="5EAB33B5"/>
    <w:rsid w:val="5EB16601"/>
    <w:rsid w:val="5EB46D5A"/>
    <w:rsid w:val="5EB72617"/>
    <w:rsid w:val="5EBB33C4"/>
    <w:rsid w:val="5EBF1167"/>
    <w:rsid w:val="5EC05499"/>
    <w:rsid w:val="5EC47E53"/>
    <w:rsid w:val="5EC50363"/>
    <w:rsid w:val="5EC613C7"/>
    <w:rsid w:val="5ECE1B70"/>
    <w:rsid w:val="5ECE3EFF"/>
    <w:rsid w:val="5ED01BB4"/>
    <w:rsid w:val="5ED650D9"/>
    <w:rsid w:val="5ED75DC6"/>
    <w:rsid w:val="5EDA017A"/>
    <w:rsid w:val="5EDE0371"/>
    <w:rsid w:val="5EEB2810"/>
    <w:rsid w:val="5EF04D4E"/>
    <w:rsid w:val="5EF8799D"/>
    <w:rsid w:val="5EFC637F"/>
    <w:rsid w:val="5EFE1DCB"/>
    <w:rsid w:val="5F0034A2"/>
    <w:rsid w:val="5F065860"/>
    <w:rsid w:val="5F075C75"/>
    <w:rsid w:val="5F0825EB"/>
    <w:rsid w:val="5F0F25B5"/>
    <w:rsid w:val="5F0F3CC7"/>
    <w:rsid w:val="5F107CCD"/>
    <w:rsid w:val="5F142E5B"/>
    <w:rsid w:val="5F1607EB"/>
    <w:rsid w:val="5F1903F3"/>
    <w:rsid w:val="5F1A516E"/>
    <w:rsid w:val="5F254AD4"/>
    <w:rsid w:val="5F2C1ADA"/>
    <w:rsid w:val="5F3C6F75"/>
    <w:rsid w:val="5F403104"/>
    <w:rsid w:val="5F415D9D"/>
    <w:rsid w:val="5F423955"/>
    <w:rsid w:val="5F4744F9"/>
    <w:rsid w:val="5F5111A7"/>
    <w:rsid w:val="5F514A63"/>
    <w:rsid w:val="5F5D2245"/>
    <w:rsid w:val="5F5F4C16"/>
    <w:rsid w:val="5F680554"/>
    <w:rsid w:val="5F6A0B5D"/>
    <w:rsid w:val="5F6C211E"/>
    <w:rsid w:val="5F7536CD"/>
    <w:rsid w:val="5F794FC5"/>
    <w:rsid w:val="5F7C0738"/>
    <w:rsid w:val="5F7D7874"/>
    <w:rsid w:val="5F833D5F"/>
    <w:rsid w:val="5F872BDD"/>
    <w:rsid w:val="5F997C2D"/>
    <w:rsid w:val="5F9A2BA6"/>
    <w:rsid w:val="5F9A3324"/>
    <w:rsid w:val="5FA2777D"/>
    <w:rsid w:val="5FA55820"/>
    <w:rsid w:val="5FA948D4"/>
    <w:rsid w:val="5FB372F0"/>
    <w:rsid w:val="5FBD61BC"/>
    <w:rsid w:val="5FC017AD"/>
    <w:rsid w:val="5FC7243F"/>
    <w:rsid w:val="5FCE52A8"/>
    <w:rsid w:val="5FD7706A"/>
    <w:rsid w:val="5FDA2DC4"/>
    <w:rsid w:val="5FDB4F3D"/>
    <w:rsid w:val="5FE10819"/>
    <w:rsid w:val="5FE30BA2"/>
    <w:rsid w:val="5FF85070"/>
    <w:rsid w:val="60006973"/>
    <w:rsid w:val="6007124A"/>
    <w:rsid w:val="6007496A"/>
    <w:rsid w:val="600870EA"/>
    <w:rsid w:val="600B4871"/>
    <w:rsid w:val="600E6633"/>
    <w:rsid w:val="6013140E"/>
    <w:rsid w:val="6019408D"/>
    <w:rsid w:val="601A36E0"/>
    <w:rsid w:val="601D2C80"/>
    <w:rsid w:val="601E28CD"/>
    <w:rsid w:val="60240ADC"/>
    <w:rsid w:val="602640DE"/>
    <w:rsid w:val="602664AC"/>
    <w:rsid w:val="60274670"/>
    <w:rsid w:val="603E43E2"/>
    <w:rsid w:val="603E4F2F"/>
    <w:rsid w:val="603E6EE6"/>
    <w:rsid w:val="60432B5E"/>
    <w:rsid w:val="604379C5"/>
    <w:rsid w:val="60472491"/>
    <w:rsid w:val="60474783"/>
    <w:rsid w:val="605F164B"/>
    <w:rsid w:val="606A3E56"/>
    <w:rsid w:val="606C29BB"/>
    <w:rsid w:val="6073189D"/>
    <w:rsid w:val="607443D2"/>
    <w:rsid w:val="6075702F"/>
    <w:rsid w:val="607A48AD"/>
    <w:rsid w:val="60801EB9"/>
    <w:rsid w:val="60836310"/>
    <w:rsid w:val="60884273"/>
    <w:rsid w:val="608A3E41"/>
    <w:rsid w:val="608B6649"/>
    <w:rsid w:val="60990BD7"/>
    <w:rsid w:val="609D4C24"/>
    <w:rsid w:val="60A20F88"/>
    <w:rsid w:val="60A3504C"/>
    <w:rsid w:val="60AB2669"/>
    <w:rsid w:val="60B735D2"/>
    <w:rsid w:val="60B90CB5"/>
    <w:rsid w:val="60C31A2D"/>
    <w:rsid w:val="60C44D7F"/>
    <w:rsid w:val="60CF74B2"/>
    <w:rsid w:val="60D43EEA"/>
    <w:rsid w:val="60D46E93"/>
    <w:rsid w:val="60D56F54"/>
    <w:rsid w:val="60D640BA"/>
    <w:rsid w:val="60ED3071"/>
    <w:rsid w:val="60ED7C9C"/>
    <w:rsid w:val="60F03DCA"/>
    <w:rsid w:val="60F20FB7"/>
    <w:rsid w:val="60FE6691"/>
    <w:rsid w:val="61016998"/>
    <w:rsid w:val="610E6E75"/>
    <w:rsid w:val="61132D8F"/>
    <w:rsid w:val="61174B39"/>
    <w:rsid w:val="611A2038"/>
    <w:rsid w:val="611B654F"/>
    <w:rsid w:val="611C5424"/>
    <w:rsid w:val="61224A99"/>
    <w:rsid w:val="612369B4"/>
    <w:rsid w:val="612C5770"/>
    <w:rsid w:val="612D25D8"/>
    <w:rsid w:val="613A74B9"/>
    <w:rsid w:val="613C1C4E"/>
    <w:rsid w:val="613F585A"/>
    <w:rsid w:val="614D3232"/>
    <w:rsid w:val="614F005B"/>
    <w:rsid w:val="61547574"/>
    <w:rsid w:val="615D7476"/>
    <w:rsid w:val="615F7EE9"/>
    <w:rsid w:val="616A5B5D"/>
    <w:rsid w:val="61711746"/>
    <w:rsid w:val="61747347"/>
    <w:rsid w:val="617C37F4"/>
    <w:rsid w:val="617E6243"/>
    <w:rsid w:val="61843430"/>
    <w:rsid w:val="61965727"/>
    <w:rsid w:val="61996EAB"/>
    <w:rsid w:val="619A086F"/>
    <w:rsid w:val="619F7ACD"/>
    <w:rsid w:val="61A213C7"/>
    <w:rsid w:val="61AA52DF"/>
    <w:rsid w:val="61AC2470"/>
    <w:rsid w:val="61B87573"/>
    <w:rsid w:val="61BF5E66"/>
    <w:rsid w:val="61C041DC"/>
    <w:rsid w:val="61C33C28"/>
    <w:rsid w:val="61C443CD"/>
    <w:rsid w:val="61C91364"/>
    <w:rsid w:val="61D034C4"/>
    <w:rsid w:val="61E069EE"/>
    <w:rsid w:val="61E363D8"/>
    <w:rsid w:val="61E83ED6"/>
    <w:rsid w:val="61F10F65"/>
    <w:rsid w:val="61FD3DC4"/>
    <w:rsid w:val="61FD40B8"/>
    <w:rsid w:val="61FE5844"/>
    <w:rsid w:val="62047640"/>
    <w:rsid w:val="62097951"/>
    <w:rsid w:val="620D54F0"/>
    <w:rsid w:val="621D097D"/>
    <w:rsid w:val="622710A4"/>
    <w:rsid w:val="62281E02"/>
    <w:rsid w:val="62310466"/>
    <w:rsid w:val="62317C97"/>
    <w:rsid w:val="62331129"/>
    <w:rsid w:val="623E3CFD"/>
    <w:rsid w:val="623F751F"/>
    <w:rsid w:val="62423062"/>
    <w:rsid w:val="62445F7C"/>
    <w:rsid w:val="624871FD"/>
    <w:rsid w:val="624E7508"/>
    <w:rsid w:val="62567309"/>
    <w:rsid w:val="62570F9F"/>
    <w:rsid w:val="6257242E"/>
    <w:rsid w:val="62580196"/>
    <w:rsid w:val="625E4138"/>
    <w:rsid w:val="6263351F"/>
    <w:rsid w:val="626E1485"/>
    <w:rsid w:val="6277179C"/>
    <w:rsid w:val="627C6AF2"/>
    <w:rsid w:val="627D238E"/>
    <w:rsid w:val="6281149E"/>
    <w:rsid w:val="62814AC5"/>
    <w:rsid w:val="62824AF9"/>
    <w:rsid w:val="62850A93"/>
    <w:rsid w:val="628A77AC"/>
    <w:rsid w:val="629236BE"/>
    <w:rsid w:val="629668B6"/>
    <w:rsid w:val="62984204"/>
    <w:rsid w:val="62A07A27"/>
    <w:rsid w:val="62A46F9E"/>
    <w:rsid w:val="62A72DD4"/>
    <w:rsid w:val="62A87D09"/>
    <w:rsid w:val="62B315FF"/>
    <w:rsid w:val="62B43E2D"/>
    <w:rsid w:val="62B80164"/>
    <w:rsid w:val="62B86FA9"/>
    <w:rsid w:val="62BC3E88"/>
    <w:rsid w:val="62C002AA"/>
    <w:rsid w:val="62D67E2B"/>
    <w:rsid w:val="62D901BE"/>
    <w:rsid w:val="62DF4F75"/>
    <w:rsid w:val="62E15891"/>
    <w:rsid w:val="62E76DF3"/>
    <w:rsid w:val="62EA5C2C"/>
    <w:rsid w:val="62ED526B"/>
    <w:rsid w:val="62FA3F93"/>
    <w:rsid w:val="62FF03F8"/>
    <w:rsid w:val="63074D4D"/>
    <w:rsid w:val="630E2EB5"/>
    <w:rsid w:val="631229E5"/>
    <w:rsid w:val="63133D38"/>
    <w:rsid w:val="631A6AB0"/>
    <w:rsid w:val="6341499B"/>
    <w:rsid w:val="63416F64"/>
    <w:rsid w:val="634325ED"/>
    <w:rsid w:val="63443AEC"/>
    <w:rsid w:val="634802B3"/>
    <w:rsid w:val="635339A8"/>
    <w:rsid w:val="63554BAF"/>
    <w:rsid w:val="63574F6E"/>
    <w:rsid w:val="635C28DF"/>
    <w:rsid w:val="63602152"/>
    <w:rsid w:val="636075B2"/>
    <w:rsid w:val="636876C2"/>
    <w:rsid w:val="636A0F15"/>
    <w:rsid w:val="636B6090"/>
    <w:rsid w:val="636E75C9"/>
    <w:rsid w:val="637A63EB"/>
    <w:rsid w:val="63821249"/>
    <w:rsid w:val="6385218B"/>
    <w:rsid w:val="63864A92"/>
    <w:rsid w:val="638F22B7"/>
    <w:rsid w:val="639154D4"/>
    <w:rsid w:val="63933614"/>
    <w:rsid w:val="63A65D5A"/>
    <w:rsid w:val="63AB1FE1"/>
    <w:rsid w:val="63B5452C"/>
    <w:rsid w:val="63B76AE2"/>
    <w:rsid w:val="63BD439C"/>
    <w:rsid w:val="63C20DCE"/>
    <w:rsid w:val="63C41DD1"/>
    <w:rsid w:val="63C72372"/>
    <w:rsid w:val="63CA5F64"/>
    <w:rsid w:val="63D0639D"/>
    <w:rsid w:val="63D21E8E"/>
    <w:rsid w:val="63D25757"/>
    <w:rsid w:val="63D32D5D"/>
    <w:rsid w:val="63D342D4"/>
    <w:rsid w:val="63D72CE7"/>
    <w:rsid w:val="63D961A4"/>
    <w:rsid w:val="63DD794A"/>
    <w:rsid w:val="63E03FEA"/>
    <w:rsid w:val="63E43789"/>
    <w:rsid w:val="63E96742"/>
    <w:rsid w:val="63EF406A"/>
    <w:rsid w:val="63F25DA5"/>
    <w:rsid w:val="640C0717"/>
    <w:rsid w:val="640C5C73"/>
    <w:rsid w:val="640E6446"/>
    <w:rsid w:val="6410782B"/>
    <w:rsid w:val="64122CC8"/>
    <w:rsid w:val="64131ACE"/>
    <w:rsid w:val="64193316"/>
    <w:rsid w:val="641F6408"/>
    <w:rsid w:val="64267B2C"/>
    <w:rsid w:val="642C2369"/>
    <w:rsid w:val="6435158C"/>
    <w:rsid w:val="64361A2B"/>
    <w:rsid w:val="64385AFD"/>
    <w:rsid w:val="64477E7E"/>
    <w:rsid w:val="644C64F7"/>
    <w:rsid w:val="64532501"/>
    <w:rsid w:val="64573736"/>
    <w:rsid w:val="64595EAC"/>
    <w:rsid w:val="64644BD2"/>
    <w:rsid w:val="64655408"/>
    <w:rsid w:val="64666FE0"/>
    <w:rsid w:val="646905B9"/>
    <w:rsid w:val="646A4255"/>
    <w:rsid w:val="64713B8F"/>
    <w:rsid w:val="64753628"/>
    <w:rsid w:val="64780C1F"/>
    <w:rsid w:val="647C4DDA"/>
    <w:rsid w:val="647F7F95"/>
    <w:rsid w:val="648230FE"/>
    <w:rsid w:val="64897D48"/>
    <w:rsid w:val="648B5C8D"/>
    <w:rsid w:val="649040B2"/>
    <w:rsid w:val="6490534C"/>
    <w:rsid w:val="64932164"/>
    <w:rsid w:val="6494581D"/>
    <w:rsid w:val="64990A00"/>
    <w:rsid w:val="64A277B8"/>
    <w:rsid w:val="64A74331"/>
    <w:rsid w:val="64AB6B0F"/>
    <w:rsid w:val="64AE4EA4"/>
    <w:rsid w:val="64B7365E"/>
    <w:rsid w:val="64B931F8"/>
    <w:rsid w:val="64BA6459"/>
    <w:rsid w:val="64BD76A0"/>
    <w:rsid w:val="64C32A6F"/>
    <w:rsid w:val="64C70EC1"/>
    <w:rsid w:val="64C91401"/>
    <w:rsid w:val="64CD2D4A"/>
    <w:rsid w:val="64D71BA6"/>
    <w:rsid w:val="64D84777"/>
    <w:rsid w:val="64E41485"/>
    <w:rsid w:val="64F05517"/>
    <w:rsid w:val="64F45D47"/>
    <w:rsid w:val="64FB3A3F"/>
    <w:rsid w:val="64FB7419"/>
    <w:rsid w:val="64FC5F83"/>
    <w:rsid w:val="65012C86"/>
    <w:rsid w:val="65086F6E"/>
    <w:rsid w:val="6509389D"/>
    <w:rsid w:val="650C1CA0"/>
    <w:rsid w:val="650D08C4"/>
    <w:rsid w:val="651048DE"/>
    <w:rsid w:val="65122F40"/>
    <w:rsid w:val="65180FA7"/>
    <w:rsid w:val="651A790D"/>
    <w:rsid w:val="651F596D"/>
    <w:rsid w:val="65230CC1"/>
    <w:rsid w:val="65260B2E"/>
    <w:rsid w:val="6529782D"/>
    <w:rsid w:val="653F3F4B"/>
    <w:rsid w:val="65442614"/>
    <w:rsid w:val="65483234"/>
    <w:rsid w:val="6553542F"/>
    <w:rsid w:val="655A3450"/>
    <w:rsid w:val="655E4E68"/>
    <w:rsid w:val="655E5BA3"/>
    <w:rsid w:val="656503D7"/>
    <w:rsid w:val="6568546B"/>
    <w:rsid w:val="657024EB"/>
    <w:rsid w:val="65776C14"/>
    <w:rsid w:val="657D055C"/>
    <w:rsid w:val="658162D4"/>
    <w:rsid w:val="658F3432"/>
    <w:rsid w:val="659000AC"/>
    <w:rsid w:val="65945ABB"/>
    <w:rsid w:val="6595479B"/>
    <w:rsid w:val="659C2B2E"/>
    <w:rsid w:val="659E4899"/>
    <w:rsid w:val="65AF5A95"/>
    <w:rsid w:val="65AF762F"/>
    <w:rsid w:val="65B63190"/>
    <w:rsid w:val="65B93817"/>
    <w:rsid w:val="65BA1198"/>
    <w:rsid w:val="65BC64AA"/>
    <w:rsid w:val="65D02159"/>
    <w:rsid w:val="65E731DB"/>
    <w:rsid w:val="65EB61D4"/>
    <w:rsid w:val="65F04330"/>
    <w:rsid w:val="65F20F15"/>
    <w:rsid w:val="65F3675D"/>
    <w:rsid w:val="65F618D7"/>
    <w:rsid w:val="65FD216C"/>
    <w:rsid w:val="65FE7DD6"/>
    <w:rsid w:val="66031B87"/>
    <w:rsid w:val="660A05D9"/>
    <w:rsid w:val="660B76F3"/>
    <w:rsid w:val="660B7B56"/>
    <w:rsid w:val="660C4124"/>
    <w:rsid w:val="66156C4D"/>
    <w:rsid w:val="66164AC3"/>
    <w:rsid w:val="661B36E7"/>
    <w:rsid w:val="66240622"/>
    <w:rsid w:val="662411BF"/>
    <w:rsid w:val="662B361D"/>
    <w:rsid w:val="66315775"/>
    <w:rsid w:val="66437052"/>
    <w:rsid w:val="66467706"/>
    <w:rsid w:val="664E41D9"/>
    <w:rsid w:val="664F3140"/>
    <w:rsid w:val="66515883"/>
    <w:rsid w:val="665610A9"/>
    <w:rsid w:val="66590DCD"/>
    <w:rsid w:val="665E3FA2"/>
    <w:rsid w:val="66614701"/>
    <w:rsid w:val="666358BC"/>
    <w:rsid w:val="66693CFE"/>
    <w:rsid w:val="66695AF1"/>
    <w:rsid w:val="666E74C1"/>
    <w:rsid w:val="667A263F"/>
    <w:rsid w:val="66802FE7"/>
    <w:rsid w:val="66812D23"/>
    <w:rsid w:val="66944F0F"/>
    <w:rsid w:val="669A357F"/>
    <w:rsid w:val="66A31556"/>
    <w:rsid w:val="66AB4650"/>
    <w:rsid w:val="66AF5BE1"/>
    <w:rsid w:val="66B40759"/>
    <w:rsid w:val="66BB6588"/>
    <w:rsid w:val="66C16711"/>
    <w:rsid w:val="66C41A17"/>
    <w:rsid w:val="66C4254D"/>
    <w:rsid w:val="66C7149A"/>
    <w:rsid w:val="66C9321B"/>
    <w:rsid w:val="66CC4487"/>
    <w:rsid w:val="66D40FE2"/>
    <w:rsid w:val="66D61628"/>
    <w:rsid w:val="66DC7B4A"/>
    <w:rsid w:val="66DF46C2"/>
    <w:rsid w:val="66E40E13"/>
    <w:rsid w:val="66E41E0B"/>
    <w:rsid w:val="66E85249"/>
    <w:rsid w:val="66EB12C4"/>
    <w:rsid w:val="66F14286"/>
    <w:rsid w:val="66F43AE9"/>
    <w:rsid w:val="66FD3BFA"/>
    <w:rsid w:val="66FF75FB"/>
    <w:rsid w:val="67097AAA"/>
    <w:rsid w:val="670D1B71"/>
    <w:rsid w:val="671D4475"/>
    <w:rsid w:val="67281EC7"/>
    <w:rsid w:val="67344028"/>
    <w:rsid w:val="67392A66"/>
    <w:rsid w:val="67411A42"/>
    <w:rsid w:val="674905AC"/>
    <w:rsid w:val="67496F8C"/>
    <w:rsid w:val="675327AE"/>
    <w:rsid w:val="6754488A"/>
    <w:rsid w:val="67556196"/>
    <w:rsid w:val="675E5A16"/>
    <w:rsid w:val="6761197D"/>
    <w:rsid w:val="67636AE2"/>
    <w:rsid w:val="67686498"/>
    <w:rsid w:val="676947A2"/>
    <w:rsid w:val="676A3201"/>
    <w:rsid w:val="676E1DA6"/>
    <w:rsid w:val="676F3DA1"/>
    <w:rsid w:val="6770670C"/>
    <w:rsid w:val="677C799E"/>
    <w:rsid w:val="67827DF9"/>
    <w:rsid w:val="67834F83"/>
    <w:rsid w:val="67997FFC"/>
    <w:rsid w:val="679B4BE7"/>
    <w:rsid w:val="67A25AF8"/>
    <w:rsid w:val="67B0143C"/>
    <w:rsid w:val="67C00B00"/>
    <w:rsid w:val="67C80310"/>
    <w:rsid w:val="67D51ED2"/>
    <w:rsid w:val="67DA0F51"/>
    <w:rsid w:val="67DC5320"/>
    <w:rsid w:val="67E1309E"/>
    <w:rsid w:val="67E539C0"/>
    <w:rsid w:val="67E931FD"/>
    <w:rsid w:val="67EB3A12"/>
    <w:rsid w:val="67ED4258"/>
    <w:rsid w:val="67F55A05"/>
    <w:rsid w:val="67FB0F97"/>
    <w:rsid w:val="68065D52"/>
    <w:rsid w:val="680A41A4"/>
    <w:rsid w:val="680F5FD5"/>
    <w:rsid w:val="68134C9B"/>
    <w:rsid w:val="681627EA"/>
    <w:rsid w:val="681A2D9C"/>
    <w:rsid w:val="68276AF1"/>
    <w:rsid w:val="682812E5"/>
    <w:rsid w:val="682C3459"/>
    <w:rsid w:val="682F7DB2"/>
    <w:rsid w:val="683770B8"/>
    <w:rsid w:val="683965C1"/>
    <w:rsid w:val="683B5DF7"/>
    <w:rsid w:val="683C53DC"/>
    <w:rsid w:val="68430152"/>
    <w:rsid w:val="684315D3"/>
    <w:rsid w:val="684D72F1"/>
    <w:rsid w:val="68523980"/>
    <w:rsid w:val="68546D8A"/>
    <w:rsid w:val="68553F8F"/>
    <w:rsid w:val="685E0BD6"/>
    <w:rsid w:val="685F40B3"/>
    <w:rsid w:val="68627BE9"/>
    <w:rsid w:val="6873094C"/>
    <w:rsid w:val="687F5E75"/>
    <w:rsid w:val="68851CBF"/>
    <w:rsid w:val="68864BA5"/>
    <w:rsid w:val="688709AF"/>
    <w:rsid w:val="6887389F"/>
    <w:rsid w:val="688E19E7"/>
    <w:rsid w:val="689434DA"/>
    <w:rsid w:val="68956C27"/>
    <w:rsid w:val="68983320"/>
    <w:rsid w:val="689A0693"/>
    <w:rsid w:val="689F4CC7"/>
    <w:rsid w:val="68A01296"/>
    <w:rsid w:val="68A41E22"/>
    <w:rsid w:val="68A97007"/>
    <w:rsid w:val="68B478A9"/>
    <w:rsid w:val="68BA6A04"/>
    <w:rsid w:val="68BC201A"/>
    <w:rsid w:val="68C6004A"/>
    <w:rsid w:val="68CD056A"/>
    <w:rsid w:val="68CD410D"/>
    <w:rsid w:val="68DD4402"/>
    <w:rsid w:val="68E1040E"/>
    <w:rsid w:val="68E21FF5"/>
    <w:rsid w:val="68E269FC"/>
    <w:rsid w:val="68E360A4"/>
    <w:rsid w:val="68E43CE8"/>
    <w:rsid w:val="68E71836"/>
    <w:rsid w:val="68F3092C"/>
    <w:rsid w:val="69072F35"/>
    <w:rsid w:val="690916D6"/>
    <w:rsid w:val="691146C8"/>
    <w:rsid w:val="69153A94"/>
    <w:rsid w:val="69161875"/>
    <w:rsid w:val="69261439"/>
    <w:rsid w:val="69282107"/>
    <w:rsid w:val="693A0AAA"/>
    <w:rsid w:val="69400FA4"/>
    <w:rsid w:val="694101FB"/>
    <w:rsid w:val="69442DC6"/>
    <w:rsid w:val="694F6354"/>
    <w:rsid w:val="69512123"/>
    <w:rsid w:val="6951603D"/>
    <w:rsid w:val="695529DF"/>
    <w:rsid w:val="69583967"/>
    <w:rsid w:val="695A3922"/>
    <w:rsid w:val="695A42D9"/>
    <w:rsid w:val="695B6D0D"/>
    <w:rsid w:val="695F3F72"/>
    <w:rsid w:val="69624E8F"/>
    <w:rsid w:val="69637697"/>
    <w:rsid w:val="696E36F1"/>
    <w:rsid w:val="6970701C"/>
    <w:rsid w:val="69717F4D"/>
    <w:rsid w:val="69737A3B"/>
    <w:rsid w:val="69743640"/>
    <w:rsid w:val="69796036"/>
    <w:rsid w:val="697D0F42"/>
    <w:rsid w:val="697E6F24"/>
    <w:rsid w:val="697F230D"/>
    <w:rsid w:val="6983065E"/>
    <w:rsid w:val="6989270C"/>
    <w:rsid w:val="69893B07"/>
    <w:rsid w:val="699129B0"/>
    <w:rsid w:val="69A15775"/>
    <w:rsid w:val="69AB6055"/>
    <w:rsid w:val="69B649A4"/>
    <w:rsid w:val="69C026AD"/>
    <w:rsid w:val="69C40C44"/>
    <w:rsid w:val="69C4366B"/>
    <w:rsid w:val="69C72161"/>
    <w:rsid w:val="69CD0DFA"/>
    <w:rsid w:val="69CD10EC"/>
    <w:rsid w:val="69D5474D"/>
    <w:rsid w:val="69D87485"/>
    <w:rsid w:val="69DB51C3"/>
    <w:rsid w:val="69DF1A84"/>
    <w:rsid w:val="69F2148A"/>
    <w:rsid w:val="69F93223"/>
    <w:rsid w:val="69FF1B34"/>
    <w:rsid w:val="6A11122C"/>
    <w:rsid w:val="6A145E00"/>
    <w:rsid w:val="6A193D7A"/>
    <w:rsid w:val="6A1C022B"/>
    <w:rsid w:val="6A257487"/>
    <w:rsid w:val="6A2A5F02"/>
    <w:rsid w:val="6A2F3F03"/>
    <w:rsid w:val="6A3465B9"/>
    <w:rsid w:val="6A3832AF"/>
    <w:rsid w:val="6A3F42F3"/>
    <w:rsid w:val="6A404E3D"/>
    <w:rsid w:val="6A4574D8"/>
    <w:rsid w:val="6A605140"/>
    <w:rsid w:val="6A657204"/>
    <w:rsid w:val="6A7D7584"/>
    <w:rsid w:val="6A7F0232"/>
    <w:rsid w:val="6A8433D2"/>
    <w:rsid w:val="6A863926"/>
    <w:rsid w:val="6A877233"/>
    <w:rsid w:val="6A881612"/>
    <w:rsid w:val="6A882ECD"/>
    <w:rsid w:val="6A894FAF"/>
    <w:rsid w:val="6A904C43"/>
    <w:rsid w:val="6A9840F9"/>
    <w:rsid w:val="6A991763"/>
    <w:rsid w:val="6A9A2C09"/>
    <w:rsid w:val="6A9C158E"/>
    <w:rsid w:val="6AA172AF"/>
    <w:rsid w:val="6AA20740"/>
    <w:rsid w:val="6AAD12D9"/>
    <w:rsid w:val="6AB602C2"/>
    <w:rsid w:val="6AB943EE"/>
    <w:rsid w:val="6AC032BC"/>
    <w:rsid w:val="6AC432CA"/>
    <w:rsid w:val="6AC8092A"/>
    <w:rsid w:val="6AD06A6E"/>
    <w:rsid w:val="6AD205CA"/>
    <w:rsid w:val="6AE1028F"/>
    <w:rsid w:val="6AE64F06"/>
    <w:rsid w:val="6AF84026"/>
    <w:rsid w:val="6AFA7075"/>
    <w:rsid w:val="6AFB07C6"/>
    <w:rsid w:val="6B0700FD"/>
    <w:rsid w:val="6B0C3251"/>
    <w:rsid w:val="6B0D7E95"/>
    <w:rsid w:val="6B241E45"/>
    <w:rsid w:val="6B2647A5"/>
    <w:rsid w:val="6B2A4845"/>
    <w:rsid w:val="6B3E29D6"/>
    <w:rsid w:val="6B434E08"/>
    <w:rsid w:val="6B484B34"/>
    <w:rsid w:val="6B4C712F"/>
    <w:rsid w:val="6B501AD4"/>
    <w:rsid w:val="6B57533D"/>
    <w:rsid w:val="6B585012"/>
    <w:rsid w:val="6B63004A"/>
    <w:rsid w:val="6B6951C4"/>
    <w:rsid w:val="6B6B795B"/>
    <w:rsid w:val="6B6C155B"/>
    <w:rsid w:val="6B6D17D9"/>
    <w:rsid w:val="6B724EC5"/>
    <w:rsid w:val="6B775052"/>
    <w:rsid w:val="6B842643"/>
    <w:rsid w:val="6B8B6DF4"/>
    <w:rsid w:val="6B8C7923"/>
    <w:rsid w:val="6B8E6F7C"/>
    <w:rsid w:val="6B923B2B"/>
    <w:rsid w:val="6B9429D1"/>
    <w:rsid w:val="6B98025A"/>
    <w:rsid w:val="6BA06389"/>
    <w:rsid w:val="6BA30BE4"/>
    <w:rsid w:val="6BA31A09"/>
    <w:rsid w:val="6BA61D34"/>
    <w:rsid w:val="6BA75497"/>
    <w:rsid w:val="6BA9582F"/>
    <w:rsid w:val="6BB176F7"/>
    <w:rsid w:val="6BB35690"/>
    <w:rsid w:val="6BB5194A"/>
    <w:rsid w:val="6BB74227"/>
    <w:rsid w:val="6BBA66B5"/>
    <w:rsid w:val="6BBE196F"/>
    <w:rsid w:val="6BC31271"/>
    <w:rsid w:val="6BE0639E"/>
    <w:rsid w:val="6BE16DC9"/>
    <w:rsid w:val="6BE444FA"/>
    <w:rsid w:val="6BE976CE"/>
    <w:rsid w:val="6BEC66EE"/>
    <w:rsid w:val="6BF07EAA"/>
    <w:rsid w:val="6BF14A0C"/>
    <w:rsid w:val="6BF20FB8"/>
    <w:rsid w:val="6BF24619"/>
    <w:rsid w:val="6BF24AF7"/>
    <w:rsid w:val="6C042D16"/>
    <w:rsid w:val="6C0537C8"/>
    <w:rsid w:val="6C084114"/>
    <w:rsid w:val="6C093B94"/>
    <w:rsid w:val="6C0F41E1"/>
    <w:rsid w:val="6C267A02"/>
    <w:rsid w:val="6C29167F"/>
    <w:rsid w:val="6C2A6CEE"/>
    <w:rsid w:val="6C2B2504"/>
    <w:rsid w:val="6C2B4363"/>
    <w:rsid w:val="6C304F19"/>
    <w:rsid w:val="6C3053D9"/>
    <w:rsid w:val="6C405332"/>
    <w:rsid w:val="6C4377B6"/>
    <w:rsid w:val="6C517C60"/>
    <w:rsid w:val="6C5405E0"/>
    <w:rsid w:val="6C556AE6"/>
    <w:rsid w:val="6C57453E"/>
    <w:rsid w:val="6C595BFA"/>
    <w:rsid w:val="6C7552DD"/>
    <w:rsid w:val="6C82150B"/>
    <w:rsid w:val="6C8846F8"/>
    <w:rsid w:val="6C88786E"/>
    <w:rsid w:val="6C930994"/>
    <w:rsid w:val="6C9671CF"/>
    <w:rsid w:val="6C974442"/>
    <w:rsid w:val="6C9F1981"/>
    <w:rsid w:val="6C9F6E83"/>
    <w:rsid w:val="6CA40FE5"/>
    <w:rsid w:val="6CA900DD"/>
    <w:rsid w:val="6CAB3913"/>
    <w:rsid w:val="6CAE2812"/>
    <w:rsid w:val="6CB06212"/>
    <w:rsid w:val="6CB42DFD"/>
    <w:rsid w:val="6CB60C69"/>
    <w:rsid w:val="6CBC4148"/>
    <w:rsid w:val="6CC1067B"/>
    <w:rsid w:val="6CC42698"/>
    <w:rsid w:val="6CC56A9C"/>
    <w:rsid w:val="6CC9612D"/>
    <w:rsid w:val="6CD65BF0"/>
    <w:rsid w:val="6CD9239F"/>
    <w:rsid w:val="6CDB1F23"/>
    <w:rsid w:val="6CDF7F0C"/>
    <w:rsid w:val="6CE33F52"/>
    <w:rsid w:val="6CE3651E"/>
    <w:rsid w:val="6CE425FD"/>
    <w:rsid w:val="6CEC0B1B"/>
    <w:rsid w:val="6CEC3EFD"/>
    <w:rsid w:val="6CF36C4F"/>
    <w:rsid w:val="6CF543B5"/>
    <w:rsid w:val="6CF70AA0"/>
    <w:rsid w:val="6CF82B6E"/>
    <w:rsid w:val="6CF86A65"/>
    <w:rsid w:val="6D071C15"/>
    <w:rsid w:val="6D0774BF"/>
    <w:rsid w:val="6D0809E9"/>
    <w:rsid w:val="6D0D6024"/>
    <w:rsid w:val="6D0F2B02"/>
    <w:rsid w:val="6D1A1781"/>
    <w:rsid w:val="6D1F26CE"/>
    <w:rsid w:val="6D2001F2"/>
    <w:rsid w:val="6D234A39"/>
    <w:rsid w:val="6D262378"/>
    <w:rsid w:val="6D276729"/>
    <w:rsid w:val="6D283EF1"/>
    <w:rsid w:val="6D2D1778"/>
    <w:rsid w:val="6D347C80"/>
    <w:rsid w:val="6D3771FC"/>
    <w:rsid w:val="6D3A0688"/>
    <w:rsid w:val="6D3F47EE"/>
    <w:rsid w:val="6D4072B1"/>
    <w:rsid w:val="6D414E97"/>
    <w:rsid w:val="6D484D36"/>
    <w:rsid w:val="6D4A0555"/>
    <w:rsid w:val="6D4C4319"/>
    <w:rsid w:val="6D4D2DE5"/>
    <w:rsid w:val="6D4E5075"/>
    <w:rsid w:val="6D554A81"/>
    <w:rsid w:val="6D58542B"/>
    <w:rsid w:val="6D6025EF"/>
    <w:rsid w:val="6D6770EB"/>
    <w:rsid w:val="6D6D7FD9"/>
    <w:rsid w:val="6D6E362A"/>
    <w:rsid w:val="6D6E5F36"/>
    <w:rsid w:val="6D7170FE"/>
    <w:rsid w:val="6D734A13"/>
    <w:rsid w:val="6D7D7268"/>
    <w:rsid w:val="6D7F04CF"/>
    <w:rsid w:val="6D8067B6"/>
    <w:rsid w:val="6D826D6C"/>
    <w:rsid w:val="6D8476E7"/>
    <w:rsid w:val="6D8A61A9"/>
    <w:rsid w:val="6D8F663A"/>
    <w:rsid w:val="6D921648"/>
    <w:rsid w:val="6D9319F8"/>
    <w:rsid w:val="6D943E51"/>
    <w:rsid w:val="6D952AB8"/>
    <w:rsid w:val="6D9A7415"/>
    <w:rsid w:val="6D9F77B2"/>
    <w:rsid w:val="6DA16920"/>
    <w:rsid w:val="6DA22A3B"/>
    <w:rsid w:val="6DB43CBF"/>
    <w:rsid w:val="6DB65267"/>
    <w:rsid w:val="6DBA6951"/>
    <w:rsid w:val="6DBE7C28"/>
    <w:rsid w:val="6DC616C6"/>
    <w:rsid w:val="6DC822B5"/>
    <w:rsid w:val="6DC869CE"/>
    <w:rsid w:val="6DCA662C"/>
    <w:rsid w:val="6DD54A74"/>
    <w:rsid w:val="6DE512BE"/>
    <w:rsid w:val="6DEA6AB1"/>
    <w:rsid w:val="6DF72903"/>
    <w:rsid w:val="6DF73D6D"/>
    <w:rsid w:val="6DFB5040"/>
    <w:rsid w:val="6DFE1195"/>
    <w:rsid w:val="6DFF0BBF"/>
    <w:rsid w:val="6DFF24B3"/>
    <w:rsid w:val="6E047794"/>
    <w:rsid w:val="6E0532B3"/>
    <w:rsid w:val="6E073F12"/>
    <w:rsid w:val="6E0B72B9"/>
    <w:rsid w:val="6E0C686E"/>
    <w:rsid w:val="6E1451C2"/>
    <w:rsid w:val="6E2703E9"/>
    <w:rsid w:val="6E2B7861"/>
    <w:rsid w:val="6E2E6BD8"/>
    <w:rsid w:val="6E2F0545"/>
    <w:rsid w:val="6E2F1A84"/>
    <w:rsid w:val="6E355C99"/>
    <w:rsid w:val="6E39484D"/>
    <w:rsid w:val="6E3D153A"/>
    <w:rsid w:val="6E3D457A"/>
    <w:rsid w:val="6E42444B"/>
    <w:rsid w:val="6E471FA2"/>
    <w:rsid w:val="6E4F73BE"/>
    <w:rsid w:val="6E56438B"/>
    <w:rsid w:val="6E566306"/>
    <w:rsid w:val="6E5F35B7"/>
    <w:rsid w:val="6E69641A"/>
    <w:rsid w:val="6E6B1B2A"/>
    <w:rsid w:val="6E74290C"/>
    <w:rsid w:val="6E7B4978"/>
    <w:rsid w:val="6E7C180A"/>
    <w:rsid w:val="6E8677E9"/>
    <w:rsid w:val="6E871FD2"/>
    <w:rsid w:val="6E8A4F6A"/>
    <w:rsid w:val="6E8A6695"/>
    <w:rsid w:val="6E8F301E"/>
    <w:rsid w:val="6E8F6DAA"/>
    <w:rsid w:val="6E9060BF"/>
    <w:rsid w:val="6EA06D93"/>
    <w:rsid w:val="6EAC2515"/>
    <w:rsid w:val="6EAE21D1"/>
    <w:rsid w:val="6EBC5748"/>
    <w:rsid w:val="6EC030FC"/>
    <w:rsid w:val="6EC170EA"/>
    <w:rsid w:val="6ECE425F"/>
    <w:rsid w:val="6ED47DB7"/>
    <w:rsid w:val="6ED6762F"/>
    <w:rsid w:val="6EDB6844"/>
    <w:rsid w:val="6EE649B1"/>
    <w:rsid w:val="6EEB5DEB"/>
    <w:rsid w:val="6EF31F89"/>
    <w:rsid w:val="6EF423D8"/>
    <w:rsid w:val="6EF510DC"/>
    <w:rsid w:val="6EFC0922"/>
    <w:rsid w:val="6EFE53AC"/>
    <w:rsid w:val="6EFE5570"/>
    <w:rsid w:val="6EFE6A06"/>
    <w:rsid w:val="6F015907"/>
    <w:rsid w:val="6F06050E"/>
    <w:rsid w:val="6F0C47B7"/>
    <w:rsid w:val="6F0E46EF"/>
    <w:rsid w:val="6F1746E3"/>
    <w:rsid w:val="6F1C0B8B"/>
    <w:rsid w:val="6F2246AE"/>
    <w:rsid w:val="6F2F611F"/>
    <w:rsid w:val="6F327424"/>
    <w:rsid w:val="6F3C0E50"/>
    <w:rsid w:val="6F4000EC"/>
    <w:rsid w:val="6F480882"/>
    <w:rsid w:val="6F506CA5"/>
    <w:rsid w:val="6F52797F"/>
    <w:rsid w:val="6F5334ED"/>
    <w:rsid w:val="6F584BF4"/>
    <w:rsid w:val="6F5C5ACA"/>
    <w:rsid w:val="6F5D0749"/>
    <w:rsid w:val="6F602211"/>
    <w:rsid w:val="6F66178C"/>
    <w:rsid w:val="6F6728D3"/>
    <w:rsid w:val="6F6F70EB"/>
    <w:rsid w:val="6F737123"/>
    <w:rsid w:val="6F7526E7"/>
    <w:rsid w:val="6F755174"/>
    <w:rsid w:val="6F7C7410"/>
    <w:rsid w:val="6F7E39F5"/>
    <w:rsid w:val="6F812543"/>
    <w:rsid w:val="6F875EE9"/>
    <w:rsid w:val="6F9305E3"/>
    <w:rsid w:val="6F9A7B32"/>
    <w:rsid w:val="6F9D3971"/>
    <w:rsid w:val="6FA815B5"/>
    <w:rsid w:val="6FBA7AB0"/>
    <w:rsid w:val="6FBC4B72"/>
    <w:rsid w:val="6FCC2952"/>
    <w:rsid w:val="6FCD42BD"/>
    <w:rsid w:val="6FE06922"/>
    <w:rsid w:val="6FE11A6A"/>
    <w:rsid w:val="6FE56DA6"/>
    <w:rsid w:val="6FE91832"/>
    <w:rsid w:val="6FF15C82"/>
    <w:rsid w:val="6FFD13E7"/>
    <w:rsid w:val="70035B63"/>
    <w:rsid w:val="70074934"/>
    <w:rsid w:val="70084791"/>
    <w:rsid w:val="700A3A57"/>
    <w:rsid w:val="700B0D1A"/>
    <w:rsid w:val="700B4CC3"/>
    <w:rsid w:val="701B650B"/>
    <w:rsid w:val="70200403"/>
    <w:rsid w:val="70233697"/>
    <w:rsid w:val="70247AA9"/>
    <w:rsid w:val="7025265A"/>
    <w:rsid w:val="702F7F84"/>
    <w:rsid w:val="704622D4"/>
    <w:rsid w:val="70513178"/>
    <w:rsid w:val="70572E91"/>
    <w:rsid w:val="7060303C"/>
    <w:rsid w:val="706A1F04"/>
    <w:rsid w:val="70711F9A"/>
    <w:rsid w:val="707227EF"/>
    <w:rsid w:val="70764871"/>
    <w:rsid w:val="707C2F7E"/>
    <w:rsid w:val="70812330"/>
    <w:rsid w:val="70844580"/>
    <w:rsid w:val="708B7FB8"/>
    <w:rsid w:val="70971996"/>
    <w:rsid w:val="709E3984"/>
    <w:rsid w:val="70A01528"/>
    <w:rsid w:val="70A535EC"/>
    <w:rsid w:val="70AE69A5"/>
    <w:rsid w:val="70AF24D8"/>
    <w:rsid w:val="70B172B5"/>
    <w:rsid w:val="70B17A12"/>
    <w:rsid w:val="70C03A2D"/>
    <w:rsid w:val="70C14F6B"/>
    <w:rsid w:val="70C17302"/>
    <w:rsid w:val="70CD0CF0"/>
    <w:rsid w:val="70D32EE1"/>
    <w:rsid w:val="70DA2493"/>
    <w:rsid w:val="70DC4BC5"/>
    <w:rsid w:val="70EB329E"/>
    <w:rsid w:val="70F22DF6"/>
    <w:rsid w:val="70F44FD9"/>
    <w:rsid w:val="70F554C4"/>
    <w:rsid w:val="70F640FE"/>
    <w:rsid w:val="70FB4E51"/>
    <w:rsid w:val="71011C6D"/>
    <w:rsid w:val="710606EF"/>
    <w:rsid w:val="71067CCF"/>
    <w:rsid w:val="710B4A26"/>
    <w:rsid w:val="71101A19"/>
    <w:rsid w:val="711055CF"/>
    <w:rsid w:val="71162D5A"/>
    <w:rsid w:val="711A1C3B"/>
    <w:rsid w:val="711E4F6E"/>
    <w:rsid w:val="712C473E"/>
    <w:rsid w:val="71311A2D"/>
    <w:rsid w:val="71326B1E"/>
    <w:rsid w:val="713A0B5B"/>
    <w:rsid w:val="71452CBD"/>
    <w:rsid w:val="71463FC2"/>
    <w:rsid w:val="7148016B"/>
    <w:rsid w:val="714A084D"/>
    <w:rsid w:val="714D78D3"/>
    <w:rsid w:val="71503CE7"/>
    <w:rsid w:val="71536C22"/>
    <w:rsid w:val="71567F32"/>
    <w:rsid w:val="715A2207"/>
    <w:rsid w:val="715E00B3"/>
    <w:rsid w:val="716242AB"/>
    <w:rsid w:val="716B3350"/>
    <w:rsid w:val="716F72EE"/>
    <w:rsid w:val="71734806"/>
    <w:rsid w:val="717A35EB"/>
    <w:rsid w:val="71821750"/>
    <w:rsid w:val="7182297B"/>
    <w:rsid w:val="718D2D25"/>
    <w:rsid w:val="71900F60"/>
    <w:rsid w:val="719608E9"/>
    <w:rsid w:val="71976DB7"/>
    <w:rsid w:val="719922B4"/>
    <w:rsid w:val="71992D7E"/>
    <w:rsid w:val="719A123E"/>
    <w:rsid w:val="719C48F8"/>
    <w:rsid w:val="719D3463"/>
    <w:rsid w:val="719D5A56"/>
    <w:rsid w:val="719D6118"/>
    <w:rsid w:val="71A12F38"/>
    <w:rsid w:val="71A50249"/>
    <w:rsid w:val="71AB772C"/>
    <w:rsid w:val="71AC1BB3"/>
    <w:rsid w:val="71AD4ADF"/>
    <w:rsid w:val="71AE557C"/>
    <w:rsid w:val="71AE6CC2"/>
    <w:rsid w:val="71B445A0"/>
    <w:rsid w:val="71B73104"/>
    <w:rsid w:val="71BA31E1"/>
    <w:rsid w:val="71C148D5"/>
    <w:rsid w:val="71C1714D"/>
    <w:rsid w:val="71C3323E"/>
    <w:rsid w:val="71C70C12"/>
    <w:rsid w:val="71CA0779"/>
    <w:rsid w:val="71D15F35"/>
    <w:rsid w:val="71D35537"/>
    <w:rsid w:val="71D35A15"/>
    <w:rsid w:val="71D4164F"/>
    <w:rsid w:val="71DA7EA4"/>
    <w:rsid w:val="71DF37B5"/>
    <w:rsid w:val="71E173A1"/>
    <w:rsid w:val="71EA2CE2"/>
    <w:rsid w:val="71ED6ED1"/>
    <w:rsid w:val="71F433F6"/>
    <w:rsid w:val="71F77812"/>
    <w:rsid w:val="71F95325"/>
    <w:rsid w:val="71F95A4D"/>
    <w:rsid w:val="71FA003B"/>
    <w:rsid w:val="71FA0510"/>
    <w:rsid w:val="71FD1689"/>
    <w:rsid w:val="71FD1D34"/>
    <w:rsid w:val="71FE2ACC"/>
    <w:rsid w:val="72015588"/>
    <w:rsid w:val="720A58C9"/>
    <w:rsid w:val="720F3321"/>
    <w:rsid w:val="72116C3F"/>
    <w:rsid w:val="721F2961"/>
    <w:rsid w:val="7225026E"/>
    <w:rsid w:val="722B6D3C"/>
    <w:rsid w:val="723B0B95"/>
    <w:rsid w:val="723B52B8"/>
    <w:rsid w:val="724A4324"/>
    <w:rsid w:val="72522723"/>
    <w:rsid w:val="725340BD"/>
    <w:rsid w:val="72542A36"/>
    <w:rsid w:val="72555383"/>
    <w:rsid w:val="726048F1"/>
    <w:rsid w:val="726843AE"/>
    <w:rsid w:val="728D2090"/>
    <w:rsid w:val="72930D42"/>
    <w:rsid w:val="72A06AC1"/>
    <w:rsid w:val="72A362B4"/>
    <w:rsid w:val="72A74552"/>
    <w:rsid w:val="72A86C15"/>
    <w:rsid w:val="72AC0588"/>
    <w:rsid w:val="72AE7811"/>
    <w:rsid w:val="72AF0B61"/>
    <w:rsid w:val="72B85A81"/>
    <w:rsid w:val="72BA03E7"/>
    <w:rsid w:val="72BA552F"/>
    <w:rsid w:val="72BD4C62"/>
    <w:rsid w:val="72BD6F4F"/>
    <w:rsid w:val="72C73F34"/>
    <w:rsid w:val="72C82B91"/>
    <w:rsid w:val="72C83A64"/>
    <w:rsid w:val="72C87A6B"/>
    <w:rsid w:val="72CA0320"/>
    <w:rsid w:val="72D04006"/>
    <w:rsid w:val="72D10367"/>
    <w:rsid w:val="72D21E54"/>
    <w:rsid w:val="72D34AA4"/>
    <w:rsid w:val="72D97928"/>
    <w:rsid w:val="72E31D99"/>
    <w:rsid w:val="72E34F8F"/>
    <w:rsid w:val="72F32BA1"/>
    <w:rsid w:val="7301303C"/>
    <w:rsid w:val="73024E04"/>
    <w:rsid w:val="730B0185"/>
    <w:rsid w:val="730B2912"/>
    <w:rsid w:val="73117F42"/>
    <w:rsid w:val="73166B31"/>
    <w:rsid w:val="731A08E9"/>
    <w:rsid w:val="73234EDB"/>
    <w:rsid w:val="73266F63"/>
    <w:rsid w:val="732A69D2"/>
    <w:rsid w:val="732B3B21"/>
    <w:rsid w:val="73353A9D"/>
    <w:rsid w:val="733A4AF0"/>
    <w:rsid w:val="733E5133"/>
    <w:rsid w:val="73470963"/>
    <w:rsid w:val="734A7391"/>
    <w:rsid w:val="734B783B"/>
    <w:rsid w:val="73664C31"/>
    <w:rsid w:val="736D2403"/>
    <w:rsid w:val="737A4DAB"/>
    <w:rsid w:val="73803D51"/>
    <w:rsid w:val="73833688"/>
    <w:rsid w:val="73887B7B"/>
    <w:rsid w:val="738B78DE"/>
    <w:rsid w:val="738C5045"/>
    <w:rsid w:val="738F3A55"/>
    <w:rsid w:val="739942FF"/>
    <w:rsid w:val="73A649F0"/>
    <w:rsid w:val="73A760F2"/>
    <w:rsid w:val="73AD6947"/>
    <w:rsid w:val="73BE3A8E"/>
    <w:rsid w:val="73C55A94"/>
    <w:rsid w:val="73CA1FD9"/>
    <w:rsid w:val="73D14F68"/>
    <w:rsid w:val="73D63DCA"/>
    <w:rsid w:val="73FA0DAA"/>
    <w:rsid w:val="73FF104A"/>
    <w:rsid w:val="74084055"/>
    <w:rsid w:val="740A122A"/>
    <w:rsid w:val="740A13D9"/>
    <w:rsid w:val="740D2E53"/>
    <w:rsid w:val="7411270C"/>
    <w:rsid w:val="74166CA8"/>
    <w:rsid w:val="74187EEC"/>
    <w:rsid w:val="741964A4"/>
    <w:rsid w:val="741F4C05"/>
    <w:rsid w:val="742623BC"/>
    <w:rsid w:val="742671F5"/>
    <w:rsid w:val="74272D85"/>
    <w:rsid w:val="74273B4A"/>
    <w:rsid w:val="742A50E0"/>
    <w:rsid w:val="742A7EF0"/>
    <w:rsid w:val="743E46CE"/>
    <w:rsid w:val="74414A8B"/>
    <w:rsid w:val="74475FDB"/>
    <w:rsid w:val="744C7B5C"/>
    <w:rsid w:val="744D1D69"/>
    <w:rsid w:val="74502B4C"/>
    <w:rsid w:val="74600ADB"/>
    <w:rsid w:val="746206FB"/>
    <w:rsid w:val="746D577E"/>
    <w:rsid w:val="74703DFE"/>
    <w:rsid w:val="747626CA"/>
    <w:rsid w:val="74781DB0"/>
    <w:rsid w:val="747A326E"/>
    <w:rsid w:val="747C59B7"/>
    <w:rsid w:val="74880C4C"/>
    <w:rsid w:val="74891CF9"/>
    <w:rsid w:val="748B0C7D"/>
    <w:rsid w:val="74903C13"/>
    <w:rsid w:val="749562FE"/>
    <w:rsid w:val="74957A0A"/>
    <w:rsid w:val="74A83DF8"/>
    <w:rsid w:val="74AF19B2"/>
    <w:rsid w:val="74B33364"/>
    <w:rsid w:val="74B962D7"/>
    <w:rsid w:val="74BC376B"/>
    <w:rsid w:val="74BD448C"/>
    <w:rsid w:val="74C440A9"/>
    <w:rsid w:val="74C555D9"/>
    <w:rsid w:val="74C62B1C"/>
    <w:rsid w:val="74CA6EF9"/>
    <w:rsid w:val="74CB4839"/>
    <w:rsid w:val="74DD3E9F"/>
    <w:rsid w:val="74DE2ED9"/>
    <w:rsid w:val="74E13135"/>
    <w:rsid w:val="74E14727"/>
    <w:rsid w:val="74E47420"/>
    <w:rsid w:val="74EA3EB2"/>
    <w:rsid w:val="74EE4294"/>
    <w:rsid w:val="74EF6AD4"/>
    <w:rsid w:val="74F07E0A"/>
    <w:rsid w:val="74F554E2"/>
    <w:rsid w:val="7502115E"/>
    <w:rsid w:val="750842CC"/>
    <w:rsid w:val="750F4E7A"/>
    <w:rsid w:val="75181445"/>
    <w:rsid w:val="751A36F4"/>
    <w:rsid w:val="751C7D45"/>
    <w:rsid w:val="752F371C"/>
    <w:rsid w:val="753A4DD0"/>
    <w:rsid w:val="7542280E"/>
    <w:rsid w:val="7545531A"/>
    <w:rsid w:val="75560317"/>
    <w:rsid w:val="75566F69"/>
    <w:rsid w:val="755D1234"/>
    <w:rsid w:val="755F09DF"/>
    <w:rsid w:val="75675ADF"/>
    <w:rsid w:val="756B54F8"/>
    <w:rsid w:val="756C6582"/>
    <w:rsid w:val="756E5D13"/>
    <w:rsid w:val="75740557"/>
    <w:rsid w:val="757816ED"/>
    <w:rsid w:val="757A602C"/>
    <w:rsid w:val="757D7BAC"/>
    <w:rsid w:val="7580636A"/>
    <w:rsid w:val="758641B8"/>
    <w:rsid w:val="75954E5B"/>
    <w:rsid w:val="759554D0"/>
    <w:rsid w:val="759D2049"/>
    <w:rsid w:val="75A70CB8"/>
    <w:rsid w:val="75A95920"/>
    <w:rsid w:val="75AB5256"/>
    <w:rsid w:val="75B05DB1"/>
    <w:rsid w:val="75B43531"/>
    <w:rsid w:val="75B54E5D"/>
    <w:rsid w:val="75B81072"/>
    <w:rsid w:val="75B921DA"/>
    <w:rsid w:val="75B933FE"/>
    <w:rsid w:val="75B96690"/>
    <w:rsid w:val="75BE3B96"/>
    <w:rsid w:val="75C5102B"/>
    <w:rsid w:val="75C51654"/>
    <w:rsid w:val="75CA76E4"/>
    <w:rsid w:val="75CD25B0"/>
    <w:rsid w:val="75D0034E"/>
    <w:rsid w:val="75D0763F"/>
    <w:rsid w:val="75DB5530"/>
    <w:rsid w:val="75E376A3"/>
    <w:rsid w:val="75E82B30"/>
    <w:rsid w:val="75ED5A36"/>
    <w:rsid w:val="75FB7495"/>
    <w:rsid w:val="75FC7D3B"/>
    <w:rsid w:val="75FE31D9"/>
    <w:rsid w:val="75FF0133"/>
    <w:rsid w:val="760231B5"/>
    <w:rsid w:val="76036560"/>
    <w:rsid w:val="760A687D"/>
    <w:rsid w:val="760F42CB"/>
    <w:rsid w:val="761025FD"/>
    <w:rsid w:val="76130B75"/>
    <w:rsid w:val="76192FD7"/>
    <w:rsid w:val="7619484E"/>
    <w:rsid w:val="761A00B4"/>
    <w:rsid w:val="761B102B"/>
    <w:rsid w:val="762012F3"/>
    <w:rsid w:val="762F067E"/>
    <w:rsid w:val="76322CE8"/>
    <w:rsid w:val="76391262"/>
    <w:rsid w:val="763B0284"/>
    <w:rsid w:val="7641027E"/>
    <w:rsid w:val="76475B71"/>
    <w:rsid w:val="764833C3"/>
    <w:rsid w:val="764B7C87"/>
    <w:rsid w:val="765233FB"/>
    <w:rsid w:val="76573A47"/>
    <w:rsid w:val="7659095E"/>
    <w:rsid w:val="765A2E54"/>
    <w:rsid w:val="765C20F6"/>
    <w:rsid w:val="766B3DFC"/>
    <w:rsid w:val="76710E80"/>
    <w:rsid w:val="767E302B"/>
    <w:rsid w:val="76834560"/>
    <w:rsid w:val="76860741"/>
    <w:rsid w:val="76895AF9"/>
    <w:rsid w:val="769016B8"/>
    <w:rsid w:val="76932345"/>
    <w:rsid w:val="76A5622D"/>
    <w:rsid w:val="76A633ED"/>
    <w:rsid w:val="76AB5F51"/>
    <w:rsid w:val="76B02504"/>
    <w:rsid w:val="76B576A3"/>
    <w:rsid w:val="76B97863"/>
    <w:rsid w:val="76D03D47"/>
    <w:rsid w:val="76D3508F"/>
    <w:rsid w:val="76D723E3"/>
    <w:rsid w:val="76DB3BA3"/>
    <w:rsid w:val="76E02C24"/>
    <w:rsid w:val="76E34A56"/>
    <w:rsid w:val="76E56D71"/>
    <w:rsid w:val="76E6140A"/>
    <w:rsid w:val="76F41B95"/>
    <w:rsid w:val="76F63A86"/>
    <w:rsid w:val="76FA7A7E"/>
    <w:rsid w:val="76FF75D2"/>
    <w:rsid w:val="77050573"/>
    <w:rsid w:val="77066555"/>
    <w:rsid w:val="77067A75"/>
    <w:rsid w:val="7707185C"/>
    <w:rsid w:val="770760C1"/>
    <w:rsid w:val="770A715A"/>
    <w:rsid w:val="77111055"/>
    <w:rsid w:val="7717373F"/>
    <w:rsid w:val="77187B86"/>
    <w:rsid w:val="771F4A89"/>
    <w:rsid w:val="7720678D"/>
    <w:rsid w:val="772C5306"/>
    <w:rsid w:val="7733773C"/>
    <w:rsid w:val="77343121"/>
    <w:rsid w:val="77355E6E"/>
    <w:rsid w:val="77383244"/>
    <w:rsid w:val="773E3702"/>
    <w:rsid w:val="773F64D5"/>
    <w:rsid w:val="77443794"/>
    <w:rsid w:val="77492C03"/>
    <w:rsid w:val="774F423A"/>
    <w:rsid w:val="774F7910"/>
    <w:rsid w:val="7756714D"/>
    <w:rsid w:val="77597E3E"/>
    <w:rsid w:val="77625740"/>
    <w:rsid w:val="77631446"/>
    <w:rsid w:val="7769549F"/>
    <w:rsid w:val="77716496"/>
    <w:rsid w:val="777C4D24"/>
    <w:rsid w:val="77823ED9"/>
    <w:rsid w:val="778807C6"/>
    <w:rsid w:val="77883832"/>
    <w:rsid w:val="7789361D"/>
    <w:rsid w:val="778A7FD8"/>
    <w:rsid w:val="77905FA2"/>
    <w:rsid w:val="77911C6E"/>
    <w:rsid w:val="77953962"/>
    <w:rsid w:val="77956910"/>
    <w:rsid w:val="779B34EE"/>
    <w:rsid w:val="77A049D7"/>
    <w:rsid w:val="77A6008A"/>
    <w:rsid w:val="77B05D89"/>
    <w:rsid w:val="77B349F9"/>
    <w:rsid w:val="77B47AEB"/>
    <w:rsid w:val="77B6601D"/>
    <w:rsid w:val="77BB391E"/>
    <w:rsid w:val="77BF2226"/>
    <w:rsid w:val="77BF6C49"/>
    <w:rsid w:val="77D73D98"/>
    <w:rsid w:val="77D7676B"/>
    <w:rsid w:val="77DD7A01"/>
    <w:rsid w:val="77DF4A52"/>
    <w:rsid w:val="77EE30D2"/>
    <w:rsid w:val="77F332DF"/>
    <w:rsid w:val="77F630A0"/>
    <w:rsid w:val="78005696"/>
    <w:rsid w:val="78005B7D"/>
    <w:rsid w:val="780A565F"/>
    <w:rsid w:val="780B2FEF"/>
    <w:rsid w:val="780B65FF"/>
    <w:rsid w:val="780C15F4"/>
    <w:rsid w:val="780C5081"/>
    <w:rsid w:val="780F0AC0"/>
    <w:rsid w:val="7810621D"/>
    <w:rsid w:val="78114B77"/>
    <w:rsid w:val="7811500F"/>
    <w:rsid w:val="7812520C"/>
    <w:rsid w:val="781D006F"/>
    <w:rsid w:val="78213084"/>
    <w:rsid w:val="78213648"/>
    <w:rsid w:val="78264079"/>
    <w:rsid w:val="78280CF1"/>
    <w:rsid w:val="78287DBF"/>
    <w:rsid w:val="782C38CF"/>
    <w:rsid w:val="782D43D1"/>
    <w:rsid w:val="78305E38"/>
    <w:rsid w:val="783328A6"/>
    <w:rsid w:val="783C4C63"/>
    <w:rsid w:val="783F1D19"/>
    <w:rsid w:val="7841731B"/>
    <w:rsid w:val="78433AD2"/>
    <w:rsid w:val="7845703E"/>
    <w:rsid w:val="784B2E74"/>
    <w:rsid w:val="7850331D"/>
    <w:rsid w:val="78520561"/>
    <w:rsid w:val="785364C5"/>
    <w:rsid w:val="785E2773"/>
    <w:rsid w:val="78631B96"/>
    <w:rsid w:val="78682E27"/>
    <w:rsid w:val="786C5E43"/>
    <w:rsid w:val="786E4E5A"/>
    <w:rsid w:val="786E7579"/>
    <w:rsid w:val="787B626A"/>
    <w:rsid w:val="78842FF3"/>
    <w:rsid w:val="7889168E"/>
    <w:rsid w:val="788B193B"/>
    <w:rsid w:val="78907887"/>
    <w:rsid w:val="78932A56"/>
    <w:rsid w:val="78957160"/>
    <w:rsid w:val="7897387D"/>
    <w:rsid w:val="78996993"/>
    <w:rsid w:val="78A51E01"/>
    <w:rsid w:val="78AA7E6E"/>
    <w:rsid w:val="78B43694"/>
    <w:rsid w:val="78B677D8"/>
    <w:rsid w:val="78B82EC3"/>
    <w:rsid w:val="78BB09E4"/>
    <w:rsid w:val="78BE2FCD"/>
    <w:rsid w:val="78C406B6"/>
    <w:rsid w:val="78C95B09"/>
    <w:rsid w:val="78CA425E"/>
    <w:rsid w:val="78CC24F0"/>
    <w:rsid w:val="78CF64E3"/>
    <w:rsid w:val="78D14FAC"/>
    <w:rsid w:val="78D70480"/>
    <w:rsid w:val="78DF64B9"/>
    <w:rsid w:val="78E454A2"/>
    <w:rsid w:val="78E502D7"/>
    <w:rsid w:val="78E60527"/>
    <w:rsid w:val="78ED4AAA"/>
    <w:rsid w:val="78EF2538"/>
    <w:rsid w:val="78F202CD"/>
    <w:rsid w:val="78F34135"/>
    <w:rsid w:val="79001ACD"/>
    <w:rsid w:val="79094C48"/>
    <w:rsid w:val="790B1448"/>
    <w:rsid w:val="791337F4"/>
    <w:rsid w:val="791614DA"/>
    <w:rsid w:val="79161CA5"/>
    <w:rsid w:val="791C6390"/>
    <w:rsid w:val="791E56E4"/>
    <w:rsid w:val="79204284"/>
    <w:rsid w:val="79205F77"/>
    <w:rsid w:val="7922368F"/>
    <w:rsid w:val="792551A3"/>
    <w:rsid w:val="79290B65"/>
    <w:rsid w:val="793117DF"/>
    <w:rsid w:val="79312D2A"/>
    <w:rsid w:val="79331259"/>
    <w:rsid w:val="793706B9"/>
    <w:rsid w:val="7938329D"/>
    <w:rsid w:val="79383E66"/>
    <w:rsid w:val="793A1AE4"/>
    <w:rsid w:val="793B5D22"/>
    <w:rsid w:val="793C7B07"/>
    <w:rsid w:val="79416D4F"/>
    <w:rsid w:val="794621D6"/>
    <w:rsid w:val="79483908"/>
    <w:rsid w:val="794A6843"/>
    <w:rsid w:val="795134B6"/>
    <w:rsid w:val="795E06F8"/>
    <w:rsid w:val="79620926"/>
    <w:rsid w:val="79681A85"/>
    <w:rsid w:val="79701AF6"/>
    <w:rsid w:val="79725241"/>
    <w:rsid w:val="79732E77"/>
    <w:rsid w:val="79743161"/>
    <w:rsid w:val="797D5A8D"/>
    <w:rsid w:val="797E3237"/>
    <w:rsid w:val="798B0BA1"/>
    <w:rsid w:val="799538B1"/>
    <w:rsid w:val="799C771D"/>
    <w:rsid w:val="799F269A"/>
    <w:rsid w:val="79A4166F"/>
    <w:rsid w:val="79A85B1D"/>
    <w:rsid w:val="79B27C4C"/>
    <w:rsid w:val="79B622CB"/>
    <w:rsid w:val="79BD6F74"/>
    <w:rsid w:val="79BF551C"/>
    <w:rsid w:val="79C634A3"/>
    <w:rsid w:val="79C66C2E"/>
    <w:rsid w:val="79C723A4"/>
    <w:rsid w:val="79C74587"/>
    <w:rsid w:val="79CA3BEB"/>
    <w:rsid w:val="79DF3AB5"/>
    <w:rsid w:val="79DF711C"/>
    <w:rsid w:val="79ED6250"/>
    <w:rsid w:val="79F000FA"/>
    <w:rsid w:val="79F02DBF"/>
    <w:rsid w:val="79F213AE"/>
    <w:rsid w:val="79F778C7"/>
    <w:rsid w:val="79FD0561"/>
    <w:rsid w:val="79FE51D4"/>
    <w:rsid w:val="7A032AFE"/>
    <w:rsid w:val="7A040ABA"/>
    <w:rsid w:val="7A0419AF"/>
    <w:rsid w:val="7A093FB4"/>
    <w:rsid w:val="7A0D5316"/>
    <w:rsid w:val="7A0D5907"/>
    <w:rsid w:val="7A193AE2"/>
    <w:rsid w:val="7A1A4834"/>
    <w:rsid w:val="7A1F61A8"/>
    <w:rsid w:val="7A217A72"/>
    <w:rsid w:val="7A271139"/>
    <w:rsid w:val="7A322C54"/>
    <w:rsid w:val="7A342CBD"/>
    <w:rsid w:val="7A387FFB"/>
    <w:rsid w:val="7A39689B"/>
    <w:rsid w:val="7A3E47B4"/>
    <w:rsid w:val="7A3F1642"/>
    <w:rsid w:val="7A522AD8"/>
    <w:rsid w:val="7A541CDF"/>
    <w:rsid w:val="7A682849"/>
    <w:rsid w:val="7A6B3DC0"/>
    <w:rsid w:val="7A6D7652"/>
    <w:rsid w:val="7A743079"/>
    <w:rsid w:val="7A77223D"/>
    <w:rsid w:val="7A79599C"/>
    <w:rsid w:val="7A7B33A5"/>
    <w:rsid w:val="7A7C5D97"/>
    <w:rsid w:val="7A7D1B3C"/>
    <w:rsid w:val="7A8D0DF2"/>
    <w:rsid w:val="7A8D168B"/>
    <w:rsid w:val="7A8D4686"/>
    <w:rsid w:val="7A910A89"/>
    <w:rsid w:val="7A934A3F"/>
    <w:rsid w:val="7A9E48D6"/>
    <w:rsid w:val="7AAA7146"/>
    <w:rsid w:val="7AAC5FCE"/>
    <w:rsid w:val="7AB02E81"/>
    <w:rsid w:val="7AB23B17"/>
    <w:rsid w:val="7AB44A8D"/>
    <w:rsid w:val="7AB53955"/>
    <w:rsid w:val="7AB67A58"/>
    <w:rsid w:val="7ABD44B1"/>
    <w:rsid w:val="7AC021F7"/>
    <w:rsid w:val="7AC21F5F"/>
    <w:rsid w:val="7AC4137C"/>
    <w:rsid w:val="7AC66B15"/>
    <w:rsid w:val="7AC94F89"/>
    <w:rsid w:val="7ACD4707"/>
    <w:rsid w:val="7ACF2853"/>
    <w:rsid w:val="7AD401E0"/>
    <w:rsid w:val="7AD708B3"/>
    <w:rsid w:val="7AD75770"/>
    <w:rsid w:val="7AD85698"/>
    <w:rsid w:val="7AE04024"/>
    <w:rsid w:val="7AE41B54"/>
    <w:rsid w:val="7AF2015A"/>
    <w:rsid w:val="7AF22618"/>
    <w:rsid w:val="7AF6090B"/>
    <w:rsid w:val="7B037E2C"/>
    <w:rsid w:val="7B085AC0"/>
    <w:rsid w:val="7B0F789B"/>
    <w:rsid w:val="7B101C17"/>
    <w:rsid w:val="7B107437"/>
    <w:rsid w:val="7B140026"/>
    <w:rsid w:val="7B156D16"/>
    <w:rsid w:val="7B263396"/>
    <w:rsid w:val="7B2861B5"/>
    <w:rsid w:val="7B2872BC"/>
    <w:rsid w:val="7B293581"/>
    <w:rsid w:val="7B2B0D4C"/>
    <w:rsid w:val="7B2E31AC"/>
    <w:rsid w:val="7B317274"/>
    <w:rsid w:val="7B324EC7"/>
    <w:rsid w:val="7B394BFD"/>
    <w:rsid w:val="7B49391E"/>
    <w:rsid w:val="7B4B4A95"/>
    <w:rsid w:val="7B592DDD"/>
    <w:rsid w:val="7B5B06E6"/>
    <w:rsid w:val="7B61362C"/>
    <w:rsid w:val="7B621F63"/>
    <w:rsid w:val="7B666080"/>
    <w:rsid w:val="7B7263B0"/>
    <w:rsid w:val="7B746B64"/>
    <w:rsid w:val="7B7501AD"/>
    <w:rsid w:val="7B78034A"/>
    <w:rsid w:val="7B7D005D"/>
    <w:rsid w:val="7B8D7752"/>
    <w:rsid w:val="7B8E37DE"/>
    <w:rsid w:val="7B8F47C7"/>
    <w:rsid w:val="7B914B96"/>
    <w:rsid w:val="7B927B14"/>
    <w:rsid w:val="7B950516"/>
    <w:rsid w:val="7B9567A9"/>
    <w:rsid w:val="7B9E2E81"/>
    <w:rsid w:val="7B9F175E"/>
    <w:rsid w:val="7B9F555A"/>
    <w:rsid w:val="7BAB4D2A"/>
    <w:rsid w:val="7BB55C27"/>
    <w:rsid w:val="7BBA1EAE"/>
    <w:rsid w:val="7BC43B6B"/>
    <w:rsid w:val="7BC865B3"/>
    <w:rsid w:val="7BCA0976"/>
    <w:rsid w:val="7BCB178D"/>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34052"/>
    <w:rsid w:val="7C0865E1"/>
    <w:rsid w:val="7C0A1089"/>
    <w:rsid w:val="7C1806FB"/>
    <w:rsid w:val="7C1A02C9"/>
    <w:rsid w:val="7C1D09CF"/>
    <w:rsid w:val="7C234A9B"/>
    <w:rsid w:val="7C236DC4"/>
    <w:rsid w:val="7C250A5F"/>
    <w:rsid w:val="7C29156F"/>
    <w:rsid w:val="7C2A385D"/>
    <w:rsid w:val="7C2F4BB6"/>
    <w:rsid w:val="7C311E61"/>
    <w:rsid w:val="7C376963"/>
    <w:rsid w:val="7C3A3357"/>
    <w:rsid w:val="7C3E1BAB"/>
    <w:rsid w:val="7C471E28"/>
    <w:rsid w:val="7C483CAB"/>
    <w:rsid w:val="7C494D84"/>
    <w:rsid w:val="7C4D3EE8"/>
    <w:rsid w:val="7C4F1BE9"/>
    <w:rsid w:val="7C5004C4"/>
    <w:rsid w:val="7C517000"/>
    <w:rsid w:val="7C5B13DA"/>
    <w:rsid w:val="7C5B35FA"/>
    <w:rsid w:val="7C5D3DC8"/>
    <w:rsid w:val="7C690B7A"/>
    <w:rsid w:val="7C6D473C"/>
    <w:rsid w:val="7C6F0C97"/>
    <w:rsid w:val="7C7147EA"/>
    <w:rsid w:val="7C7C3178"/>
    <w:rsid w:val="7C8505B4"/>
    <w:rsid w:val="7C8B4BD5"/>
    <w:rsid w:val="7C997B87"/>
    <w:rsid w:val="7CA06A8F"/>
    <w:rsid w:val="7CA33005"/>
    <w:rsid w:val="7CA63126"/>
    <w:rsid w:val="7CAC385C"/>
    <w:rsid w:val="7CB33312"/>
    <w:rsid w:val="7CB55EE5"/>
    <w:rsid w:val="7CB9256D"/>
    <w:rsid w:val="7CB93D1E"/>
    <w:rsid w:val="7CBC4622"/>
    <w:rsid w:val="7CBD1EA8"/>
    <w:rsid w:val="7CC64DC3"/>
    <w:rsid w:val="7CD070AA"/>
    <w:rsid w:val="7CD215D3"/>
    <w:rsid w:val="7CD258A4"/>
    <w:rsid w:val="7CDD2005"/>
    <w:rsid w:val="7CE12241"/>
    <w:rsid w:val="7CE8695A"/>
    <w:rsid w:val="7CF81A47"/>
    <w:rsid w:val="7CF82FD7"/>
    <w:rsid w:val="7CF8310B"/>
    <w:rsid w:val="7CF97B72"/>
    <w:rsid w:val="7D003EBD"/>
    <w:rsid w:val="7D062AC2"/>
    <w:rsid w:val="7D114EC3"/>
    <w:rsid w:val="7D11738B"/>
    <w:rsid w:val="7D130380"/>
    <w:rsid w:val="7D152E85"/>
    <w:rsid w:val="7D18797C"/>
    <w:rsid w:val="7D1D06F9"/>
    <w:rsid w:val="7D2174C4"/>
    <w:rsid w:val="7D2A532B"/>
    <w:rsid w:val="7D2F0219"/>
    <w:rsid w:val="7D303C80"/>
    <w:rsid w:val="7D341BC8"/>
    <w:rsid w:val="7D3C3AA2"/>
    <w:rsid w:val="7D405AA6"/>
    <w:rsid w:val="7D436EF5"/>
    <w:rsid w:val="7D44593A"/>
    <w:rsid w:val="7D512D55"/>
    <w:rsid w:val="7D5709AE"/>
    <w:rsid w:val="7D5E2E71"/>
    <w:rsid w:val="7D6B7110"/>
    <w:rsid w:val="7D6F5BF1"/>
    <w:rsid w:val="7D7D670C"/>
    <w:rsid w:val="7D8B3828"/>
    <w:rsid w:val="7D8F2AC0"/>
    <w:rsid w:val="7D97639E"/>
    <w:rsid w:val="7D9C3DFE"/>
    <w:rsid w:val="7DA4255A"/>
    <w:rsid w:val="7DA74CE2"/>
    <w:rsid w:val="7DC55AE8"/>
    <w:rsid w:val="7DC932A8"/>
    <w:rsid w:val="7DD85DBE"/>
    <w:rsid w:val="7DDA4118"/>
    <w:rsid w:val="7DE71751"/>
    <w:rsid w:val="7DE750D0"/>
    <w:rsid w:val="7DE8415F"/>
    <w:rsid w:val="7DEC31D0"/>
    <w:rsid w:val="7DF13EAA"/>
    <w:rsid w:val="7DF742E6"/>
    <w:rsid w:val="7DFC489D"/>
    <w:rsid w:val="7E0E68FC"/>
    <w:rsid w:val="7E0F3EA6"/>
    <w:rsid w:val="7E0F4721"/>
    <w:rsid w:val="7E1246DB"/>
    <w:rsid w:val="7E165F0E"/>
    <w:rsid w:val="7E1D0F6C"/>
    <w:rsid w:val="7E20169A"/>
    <w:rsid w:val="7E274023"/>
    <w:rsid w:val="7E2B327F"/>
    <w:rsid w:val="7E2D5152"/>
    <w:rsid w:val="7E2F6258"/>
    <w:rsid w:val="7E3508C6"/>
    <w:rsid w:val="7E371933"/>
    <w:rsid w:val="7E377DFA"/>
    <w:rsid w:val="7E386871"/>
    <w:rsid w:val="7E3A049A"/>
    <w:rsid w:val="7E400FA8"/>
    <w:rsid w:val="7E423A55"/>
    <w:rsid w:val="7E47196B"/>
    <w:rsid w:val="7E475129"/>
    <w:rsid w:val="7E517747"/>
    <w:rsid w:val="7E530176"/>
    <w:rsid w:val="7E572DD3"/>
    <w:rsid w:val="7E620822"/>
    <w:rsid w:val="7E6D71D1"/>
    <w:rsid w:val="7E7437F7"/>
    <w:rsid w:val="7E7D6743"/>
    <w:rsid w:val="7E7F3A17"/>
    <w:rsid w:val="7E822269"/>
    <w:rsid w:val="7E8B5212"/>
    <w:rsid w:val="7E8C0FAB"/>
    <w:rsid w:val="7E8E58CF"/>
    <w:rsid w:val="7E961B7C"/>
    <w:rsid w:val="7E971EC6"/>
    <w:rsid w:val="7E986288"/>
    <w:rsid w:val="7E996026"/>
    <w:rsid w:val="7E996FB8"/>
    <w:rsid w:val="7E997CE1"/>
    <w:rsid w:val="7E9C26EE"/>
    <w:rsid w:val="7EA16798"/>
    <w:rsid w:val="7EA666C5"/>
    <w:rsid w:val="7EB22177"/>
    <w:rsid w:val="7EB63A99"/>
    <w:rsid w:val="7EB7057B"/>
    <w:rsid w:val="7EB913D1"/>
    <w:rsid w:val="7EC10E27"/>
    <w:rsid w:val="7EC92461"/>
    <w:rsid w:val="7ECB640A"/>
    <w:rsid w:val="7ECD65C3"/>
    <w:rsid w:val="7ED7579C"/>
    <w:rsid w:val="7ED91764"/>
    <w:rsid w:val="7ED92D9B"/>
    <w:rsid w:val="7EDA7E49"/>
    <w:rsid w:val="7EDB6324"/>
    <w:rsid w:val="7EE32EA1"/>
    <w:rsid w:val="7EE85E1A"/>
    <w:rsid w:val="7EE9267A"/>
    <w:rsid w:val="7EF42B2D"/>
    <w:rsid w:val="7EFD09E8"/>
    <w:rsid w:val="7F032E41"/>
    <w:rsid w:val="7F0366D1"/>
    <w:rsid w:val="7F042CED"/>
    <w:rsid w:val="7F054619"/>
    <w:rsid w:val="7F067724"/>
    <w:rsid w:val="7F0B3EAA"/>
    <w:rsid w:val="7F0F3934"/>
    <w:rsid w:val="7F1026DA"/>
    <w:rsid w:val="7F1175F4"/>
    <w:rsid w:val="7F1634AE"/>
    <w:rsid w:val="7F235B45"/>
    <w:rsid w:val="7F2371D0"/>
    <w:rsid w:val="7F25457C"/>
    <w:rsid w:val="7F2F17E7"/>
    <w:rsid w:val="7F3C3603"/>
    <w:rsid w:val="7F3F2FD2"/>
    <w:rsid w:val="7F432840"/>
    <w:rsid w:val="7F443395"/>
    <w:rsid w:val="7F563140"/>
    <w:rsid w:val="7F5F27CD"/>
    <w:rsid w:val="7F614A34"/>
    <w:rsid w:val="7F614D28"/>
    <w:rsid w:val="7F6179F3"/>
    <w:rsid w:val="7F63372A"/>
    <w:rsid w:val="7F642634"/>
    <w:rsid w:val="7F6812CE"/>
    <w:rsid w:val="7F70218A"/>
    <w:rsid w:val="7F7D592C"/>
    <w:rsid w:val="7F8649A9"/>
    <w:rsid w:val="7F8A16A6"/>
    <w:rsid w:val="7F915207"/>
    <w:rsid w:val="7F98284E"/>
    <w:rsid w:val="7F9E22BE"/>
    <w:rsid w:val="7F9F3CC1"/>
    <w:rsid w:val="7FA54FB8"/>
    <w:rsid w:val="7FAD3C21"/>
    <w:rsid w:val="7FB24452"/>
    <w:rsid w:val="7FB47B1D"/>
    <w:rsid w:val="7FBA238A"/>
    <w:rsid w:val="7FBA548C"/>
    <w:rsid w:val="7FBD5C2C"/>
    <w:rsid w:val="7FC331C5"/>
    <w:rsid w:val="7FC83CB0"/>
    <w:rsid w:val="7FD6092C"/>
    <w:rsid w:val="7FD94D25"/>
    <w:rsid w:val="7FDD1879"/>
    <w:rsid w:val="7FDD2760"/>
    <w:rsid w:val="7FE1147A"/>
    <w:rsid w:val="7FEA0E77"/>
    <w:rsid w:val="7FEA56BA"/>
    <w:rsid w:val="7FF22943"/>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3"/>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4"/>
    <w:qFormat/>
    <w:uiPriority w:val="0"/>
    <w:pPr>
      <w:keepNext/>
      <w:keepLines/>
      <w:numPr>
        <w:ilvl w:val="1"/>
      </w:numPr>
      <w:spacing w:before="260" w:after="260" w:line="416" w:lineRule="auto"/>
      <w:ind w:left="575"/>
      <w:outlineLvl w:val="1"/>
    </w:pPr>
    <w:rPr>
      <w:rFonts w:ascii="Cambria" w:hAnsi="Cambria"/>
      <w:sz w:val="32"/>
      <w:szCs w:val="32"/>
    </w:rPr>
  </w:style>
  <w:style w:type="paragraph" w:styleId="4">
    <w:name w:val="heading 3"/>
    <w:basedOn w:val="3"/>
    <w:next w:val="1"/>
    <w:link w:val="45"/>
    <w:unhideWhenUsed/>
    <w:qFormat/>
    <w:uiPriority w:val="9"/>
    <w:pPr>
      <w:numPr>
        <w:ilvl w:val="2"/>
      </w:numPr>
      <w:outlineLvl w:val="2"/>
    </w:pPr>
  </w:style>
  <w:style w:type="paragraph" w:styleId="5">
    <w:name w:val="heading 4"/>
    <w:basedOn w:val="4"/>
    <w:next w:val="1"/>
    <w:link w:val="64"/>
    <w:qFormat/>
    <w:uiPriority w:val="0"/>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5"/>
    <w:qFormat/>
    <w:uiPriority w:val="0"/>
    <w:pPr>
      <w:numPr>
        <w:ilvl w:val="4"/>
      </w:num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7">
    <w:name w:val="Default Paragraph Font"/>
    <w:semiHidden/>
    <w:unhideWhenUsed/>
    <w:qFormat/>
    <w:uiPriority w:val="1"/>
  </w:style>
  <w:style w:type="table" w:default="1" w:styleId="31">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annotation subject"/>
    <w:basedOn w:val="13"/>
    <w:next w:val="13"/>
    <w:link w:val="37"/>
    <w:unhideWhenUsed/>
    <w:qFormat/>
    <w:uiPriority w:val="99"/>
    <w:rPr>
      <w:b/>
      <w:bCs/>
    </w:rPr>
  </w:style>
  <w:style w:type="paragraph" w:styleId="13">
    <w:name w:val="annotation text"/>
    <w:basedOn w:val="1"/>
    <w:link w:val="36"/>
    <w:unhideWhenUsed/>
    <w:qFormat/>
    <w:uiPriority w:val="99"/>
    <w:rPr>
      <w:sz w:val="20"/>
      <w:szCs w:val="20"/>
    </w:rPr>
  </w:style>
  <w:style w:type="paragraph" w:styleId="14">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5">
    <w:name w:val="caption"/>
    <w:basedOn w:val="1"/>
    <w:next w:val="1"/>
    <w:link w:val="41"/>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6">
    <w:name w:val="Document Map"/>
    <w:basedOn w:val="1"/>
    <w:link w:val="39"/>
    <w:unhideWhenUsed/>
    <w:qFormat/>
    <w:uiPriority w:val="99"/>
    <w:rPr>
      <w:rFonts w:ascii="宋体"/>
      <w:sz w:val="18"/>
      <w:szCs w:val="18"/>
    </w:rPr>
  </w:style>
  <w:style w:type="paragraph" w:styleId="17">
    <w:name w:val="Body Text"/>
    <w:basedOn w:val="1"/>
    <w:link w:val="40"/>
    <w:qFormat/>
    <w:uiPriority w:val="0"/>
    <w:pPr>
      <w:widowControl w:val="0"/>
      <w:spacing w:after="0" w:line="240" w:lineRule="auto"/>
      <w:jc w:val="both"/>
    </w:pPr>
    <w:rPr>
      <w:rFonts w:ascii="Times New Roman" w:hAnsi="Times New Roman"/>
      <w:color w:val="0000FF"/>
      <w:kern w:val="2"/>
      <w:sz w:val="21"/>
      <w:szCs w:val="20"/>
    </w:rPr>
  </w:style>
  <w:style w:type="paragraph" w:styleId="18">
    <w:name w:val="Body Text Indent"/>
    <w:basedOn w:val="1"/>
    <w:link w:val="72"/>
    <w:unhideWhenUsed/>
    <w:qFormat/>
    <w:uiPriority w:val="99"/>
    <w:pPr>
      <w:spacing w:after="120"/>
      <w:ind w:left="360"/>
    </w:pPr>
  </w:style>
  <w:style w:type="paragraph" w:styleId="19">
    <w:name w:val="List 2"/>
    <w:basedOn w:val="1"/>
    <w:unhideWhenUsed/>
    <w:qFormat/>
    <w:uiPriority w:val="99"/>
    <w:pPr>
      <w:ind w:left="100" w:leftChars="200" w:hanging="200" w:hangingChars="200"/>
      <w:contextualSpacing/>
    </w:pPr>
  </w:style>
  <w:style w:type="paragraph" w:styleId="20">
    <w:name w:val="Plain Text"/>
    <w:basedOn w:val="1"/>
    <w:link w:val="58"/>
    <w:unhideWhenUsed/>
    <w:qFormat/>
    <w:uiPriority w:val="99"/>
    <w:pPr>
      <w:spacing w:after="0" w:line="240" w:lineRule="auto"/>
    </w:pPr>
    <w:rPr>
      <w:rFonts w:eastAsia="Calibri"/>
      <w:szCs w:val="21"/>
      <w:lang w:val="en-GB" w:eastAsia="en-US"/>
    </w:rPr>
  </w:style>
  <w:style w:type="paragraph" w:styleId="21">
    <w:name w:val="Date"/>
    <w:basedOn w:val="1"/>
    <w:next w:val="1"/>
    <w:link w:val="52"/>
    <w:unhideWhenUsed/>
    <w:qFormat/>
    <w:uiPriority w:val="99"/>
    <w:pPr>
      <w:ind w:left="100" w:leftChars="2500"/>
    </w:pPr>
  </w:style>
  <w:style w:type="paragraph" w:styleId="22">
    <w:name w:val="Balloon Text"/>
    <w:basedOn w:val="1"/>
    <w:link w:val="38"/>
    <w:unhideWhenUsed/>
    <w:qFormat/>
    <w:uiPriority w:val="99"/>
    <w:pPr>
      <w:spacing w:after="0" w:line="240" w:lineRule="auto"/>
    </w:pPr>
    <w:rPr>
      <w:rFonts w:ascii="Tahoma" w:hAnsi="Tahoma"/>
      <w:sz w:val="16"/>
      <w:szCs w:val="16"/>
    </w:rPr>
  </w:style>
  <w:style w:type="paragraph" w:styleId="23">
    <w:name w:val="footer"/>
    <w:basedOn w:val="1"/>
    <w:link w:val="43"/>
    <w:unhideWhenUsed/>
    <w:qFormat/>
    <w:uiPriority w:val="99"/>
    <w:pPr>
      <w:tabs>
        <w:tab w:val="center" w:pos="4153"/>
        <w:tab w:val="right" w:pos="8306"/>
      </w:tabs>
      <w:snapToGrid w:val="0"/>
      <w:spacing w:line="240" w:lineRule="auto"/>
    </w:pPr>
    <w:rPr>
      <w:sz w:val="18"/>
      <w:szCs w:val="18"/>
    </w:rPr>
  </w:style>
  <w:style w:type="paragraph" w:styleId="24">
    <w:name w:val="header"/>
    <w:basedOn w:val="1"/>
    <w:link w:val="34"/>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5">
    <w:name w:val="List"/>
    <w:basedOn w:val="1"/>
    <w:unhideWhenUsed/>
    <w:qFormat/>
    <w:uiPriority w:val="99"/>
    <w:pPr>
      <w:ind w:left="568" w:hanging="284"/>
    </w:pPr>
  </w:style>
  <w:style w:type="paragraph" w:styleId="26">
    <w:name w:val="Normal (Web)"/>
    <w:basedOn w:val="1"/>
    <w:unhideWhenUsed/>
    <w:qFormat/>
    <w:uiPriority w:val="99"/>
    <w:pPr>
      <w:spacing w:after="0" w:line="240" w:lineRule="auto"/>
    </w:pPr>
    <w:rPr>
      <w:rFonts w:ascii="宋体" w:hAnsi="宋体" w:cs="宋体"/>
      <w:sz w:val="24"/>
      <w:szCs w:val="24"/>
    </w:rPr>
  </w:style>
  <w:style w:type="character" w:styleId="28">
    <w:name w:val="page number"/>
    <w:basedOn w:val="27"/>
    <w:unhideWhenUsed/>
    <w:qFormat/>
    <w:uiPriority w:val="99"/>
    <w:rPr>
      <w:rFonts w:hint="default"/>
      <w:sz w:val="24"/>
    </w:rPr>
  </w:style>
  <w:style w:type="character" w:styleId="29">
    <w:name w:val="Hyperlink"/>
    <w:unhideWhenUsed/>
    <w:qFormat/>
    <w:uiPriority w:val="99"/>
    <w:rPr>
      <w:color w:val="0000FF"/>
      <w:u w:val="single"/>
    </w:rPr>
  </w:style>
  <w:style w:type="character" w:styleId="30">
    <w:name w:val="annotation reference"/>
    <w:unhideWhenUsed/>
    <w:qFormat/>
    <w:uiPriority w:val="99"/>
    <w:rPr>
      <w:sz w:val="16"/>
      <w:szCs w:val="16"/>
    </w:rPr>
  </w:style>
  <w:style w:type="table" w:styleId="32">
    <w:name w:val="Table Grid"/>
    <w:basedOn w:val="31"/>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33">
    <w:name w:val="标题 1 Char"/>
    <w:link w:val="2"/>
    <w:qFormat/>
    <w:uiPriority w:val="99"/>
    <w:rPr>
      <w:rFonts w:ascii="Arial" w:hAnsi="Arial" w:eastAsia="黑体"/>
      <w:b/>
      <w:bCs/>
      <w:sz w:val="30"/>
      <w:szCs w:val="30"/>
      <w:lang w:val="zh-CN" w:eastAsia="zh-CN"/>
    </w:rPr>
  </w:style>
  <w:style w:type="character" w:customStyle="1" w:styleId="34">
    <w:name w:val="页眉 Char"/>
    <w:link w:val="24"/>
    <w:qFormat/>
    <w:uiPriority w:val="99"/>
    <w:rPr>
      <w:rFonts w:ascii="Arial" w:hAnsi="Arial" w:eastAsia="MS Mincho"/>
      <w:b/>
      <w:szCs w:val="24"/>
      <w:lang w:eastAsia="en-US"/>
    </w:rPr>
  </w:style>
  <w:style w:type="paragraph" w:customStyle="1" w:styleId="35">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character" w:customStyle="1" w:styleId="36">
    <w:name w:val="批注文字 Char"/>
    <w:basedOn w:val="27"/>
    <w:link w:val="13"/>
    <w:qFormat/>
    <w:uiPriority w:val="99"/>
  </w:style>
  <w:style w:type="character" w:customStyle="1" w:styleId="37">
    <w:name w:val="批注主题 Char"/>
    <w:link w:val="12"/>
    <w:semiHidden/>
    <w:qFormat/>
    <w:uiPriority w:val="99"/>
    <w:rPr>
      <w:b/>
      <w:bCs/>
    </w:rPr>
  </w:style>
  <w:style w:type="character" w:customStyle="1" w:styleId="38">
    <w:name w:val="批注框文本 Char"/>
    <w:link w:val="22"/>
    <w:semiHidden/>
    <w:qFormat/>
    <w:uiPriority w:val="99"/>
    <w:rPr>
      <w:rFonts w:ascii="Tahoma" w:hAnsi="Tahoma" w:cs="Tahoma"/>
      <w:sz w:val="16"/>
      <w:szCs w:val="16"/>
    </w:rPr>
  </w:style>
  <w:style w:type="character" w:customStyle="1" w:styleId="39">
    <w:name w:val="文档结构图 Char"/>
    <w:link w:val="16"/>
    <w:semiHidden/>
    <w:qFormat/>
    <w:uiPriority w:val="99"/>
    <w:rPr>
      <w:rFonts w:ascii="宋体"/>
      <w:sz w:val="18"/>
      <w:szCs w:val="18"/>
    </w:rPr>
  </w:style>
  <w:style w:type="character" w:customStyle="1" w:styleId="40">
    <w:name w:val="正文文本 Char"/>
    <w:link w:val="17"/>
    <w:qFormat/>
    <w:uiPriority w:val="0"/>
    <w:rPr>
      <w:rFonts w:ascii="Times New Roman" w:hAnsi="Times New Roman"/>
      <w:color w:val="0000FF"/>
      <w:kern w:val="2"/>
      <w:sz w:val="21"/>
    </w:rPr>
  </w:style>
  <w:style w:type="character" w:customStyle="1" w:styleId="41">
    <w:name w:val="题注 Char"/>
    <w:link w:val="15"/>
    <w:qFormat/>
    <w:uiPriority w:val="0"/>
    <w:rPr>
      <w:rFonts w:ascii="Times New Roman" w:hAnsi="Times New Roman"/>
      <w:b/>
      <w:bCs/>
      <w:lang w:val="en-GB" w:eastAsia="sv-SE"/>
    </w:rPr>
  </w:style>
  <w:style w:type="paragraph" w:customStyle="1" w:styleId="42">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3">
    <w:name w:val="页脚 Char"/>
    <w:link w:val="23"/>
    <w:qFormat/>
    <w:uiPriority w:val="99"/>
    <w:rPr>
      <w:sz w:val="18"/>
      <w:szCs w:val="18"/>
    </w:rPr>
  </w:style>
  <w:style w:type="character" w:customStyle="1" w:styleId="44">
    <w:name w:val="标题 2 Char"/>
    <w:link w:val="3"/>
    <w:qFormat/>
    <w:uiPriority w:val="0"/>
    <w:rPr>
      <w:rFonts w:ascii="Cambria" w:hAnsi="Cambria"/>
      <w:b/>
      <w:bCs/>
      <w:sz w:val="32"/>
      <w:szCs w:val="32"/>
      <w:lang w:val="en-US" w:eastAsia="zh-CN"/>
    </w:rPr>
  </w:style>
  <w:style w:type="character" w:customStyle="1" w:styleId="45">
    <w:name w:val="标题 3 Char"/>
    <w:link w:val="4"/>
    <w:semiHidden/>
    <w:qFormat/>
    <w:uiPriority w:val="9"/>
    <w:rPr>
      <w:b/>
      <w:bCs/>
      <w:sz w:val="32"/>
      <w:szCs w:val="32"/>
    </w:rPr>
  </w:style>
  <w:style w:type="paragraph" w:customStyle="1" w:styleId="4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7">
    <w:name w:val="z-Top of Form1"/>
    <w:basedOn w:val="1"/>
    <w:next w:val="1"/>
    <w:link w:val="48"/>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8">
    <w:name w:val="z-窗体顶端 Char"/>
    <w:link w:val="47"/>
    <w:semiHidden/>
    <w:qFormat/>
    <w:uiPriority w:val="99"/>
    <w:rPr>
      <w:rFonts w:ascii="Arial" w:hAnsi="Arial" w:cs="Arial"/>
      <w:vanish/>
      <w:sz w:val="16"/>
      <w:szCs w:val="16"/>
    </w:rPr>
  </w:style>
  <w:style w:type="character" w:customStyle="1" w:styleId="49">
    <w:name w:val="hps"/>
    <w:basedOn w:val="27"/>
    <w:qFormat/>
    <w:uiPriority w:val="0"/>
  </w:style>
  <w:style w:type="paragraph" w:customStyle="1" w:styleId="50">
    <w:name w:val="z-Bottom of Form1"/>
    <w:basedOn w:val="1"/>
    <w:next w:val="1"/>
    <w:link w:val="51"/>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1">
    <w:name w:val="z-窗体底端 Char"/>
    <w:link w:val="50"/>
    <w:semiHidden/>
    <w:qFormat/>
    <w:uiPriority w:val="99"/>
    <w:rPr>
      <w:rFonts w:ascii="Arial" w:hAnsi="Arial" w:cs="Arial"/>
      <w:vanish/>
      <w:sz w:val="16"/>
      <w:szCs w:val="16"/>
    </w:rPr>
  </w:style>
  <w:style w:type="character" w:customStyle="1" w:styleId="52">
    <w:name w:val="日期 Char"/>
    <w:link w:val="21"/>
    <w:semiHidden/>
    <w:qFormat/>
    <w:uiPriority w:val="99"/>
    <w:rPr>
      <w:sz w:val="22"/>
      <w:szCs w:val="22"/>
    </w:rPr>
  </w:style>
  <w:style w:type="paragraph" w:customStyle="1" w:styleId="53">
    <w:name w:val="List Paragraph1"/>
    <w:basedOn w:val="1"/>
    <w:link w:val="67"/>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4">
    <w:name w:val="Revision1"/>
    <w:hidden/>
    <w:semiHidden/>
    <w:qFormat/>
    <w:uiPriority w:val="99"/>
    <w:rPr>
      <w:rFonts w:ascii="Calibri" w:hAnsi="Calibri" w:cs="Times New Roman" w:eastAsiaTheme="minorEastAsia"/>
      <w:sz w:val="22"/>
      <w:szCs w:val="22"/>
      <w:lang w:val="en-US" w:eastAsia="zh-CN" w:bidi="ar-SA"/>
    </w:rPr>
  </w:style>
  <w:style w:type="paragraph" w:customStyle="1" w:styleId="55">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6">
    <w:name w:val="short_text"/>
    <w:basedOn w:val="27"/>
    <w:qFormat/>
    <w:uiPriority w:val="0"/>
  </w:style>
  <w:style w:type="paragraph" w:customStyle="1" w:styleId="57">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8">
    <w:name w:val="纯文本 Char"/>
    <w:link w:val="20"/>
    <w:qFormat/>
    <w:uiPriority w:val="99"/>
    <w:rPr>
      <w:rFonts w:eastAsia="Calibri"/>
      <w:sz w:val="22"/>
      <w:szCs w:val="21"/>
      <w:lang w:val="en-GB" w:eastAsia="en-US"/>
    </w:rPr>
  </w:style>
  <w:style w:type="paragraph" w:customStyle="1" w:styleId="59">
    <w:name w:val="TAH"/>
    <w:basedOn w:val="60"/>
    <w:link w:val="80"/>
    <w:qFormat/>
    <w:uiPriority w:val="0"/>
    <w:rPr>
      <w:b/>
    </w:rPr>
  </w:style>
  <w:style w:type="paragraph" w:customStyle="1" w:styleId="60">
    <w:name w:val="TAC"/>
    <w:basedOn w:val="61"/>
    <w:qFormat/>
    <w:uiPriority w:val="0"/>
    <w:pPr>
      <w:spacing w:line="240" w:lineRule="auto"/>
      <w:jc w:val="center"/>
    </w:pPr>
    <w:rPr>
      <w:szCs w:val="20"/>
      <w:lang w:val="en-GB" w:eastAsia="en-US"/>
    </w:rPr>
  </w:style>
  <w:style w:type="paragraph" w:customStyle="1" w:styleId="61">
    <w:name w:val="TAL"/>
    <w:basedOn w:val="1"/>
    <w:qFormat/>
    <w:uiPriority w:val="0"/>
    <w:pPr>
      <w:keepNext/>
      <w:keepLines/>
      <w:spacing w:after="0"/>
    </w:pPr>
    <w:rPr>
      <w:rFonts w:ascii="Arial" w:hAnsi="Arial"/>
      <w:sz w:val="18"/>
    </w:rPr>
  </w:style>
  <w:style w:type="paragraph" w:customStyle="1" w:styleId="62">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3">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4">
    <w:name w:val="标题 4 Char"/>
    <w:link w:val="5"/>
    <w:qFormat/>
    <w:uiPriority w:val="0"/>
    <w:rPr>
      <w:rFonts w:ascii="Times New Roman" w:hAnsi="Times New Roman"/>
      <w:b/>
      <w:sz w:val="28"/>
      <w:szCs w:val="28"/>
      <w:lang w:val="en-GB"/>
    </w:rPr>
  </w:style>
  <w:style w:type="character" w:customStyle="1" w:styleId="65">
    <w:name w:val="标题 5 Char"/>
    <w:link w:val="6"/>
    <w:qFormat/>
    <w:uiPriority w:val="0"/>
    <w:rPr>
      <w:rFonts w:ascii="Times New Roman" w:hAnsi="Times New Roman"/>
      <w:b/>
      <w:sz w:val="24"/>
      <w:szCs w:val="24"/>
      <w:lang w:val="en-GB"/>
    </w:rPr>
  </w:style>
  <w:style w:type="character" w:customStyle="1" w:styleId="66">
    <w:name w:val="apple-converted-space"/>
    <w:basedOn w:val="27"/>
    <w:qFormat/>
    <w:uiPriority w:val="0"/>
  </w:style>
  <w:style w:type="character" w:customStyle="1" w:styleId="67">
    <w:name w:val="列出段落 Char"/>
    <w:link w:val="53"/>
    <w:qFormat/>
    <w:locked/>
    <w:uiPriority w:val="34"/>
    <w:rPr>
      <w:rFonts w:ascii="Times New Roman" w:hAnsi="Times New Roman"/>
      <w:kern w:val="2"/>
      <w:sz w:val="21"/>
      <w:szCs w:val="24"/>
    </w:rPr>
  </w:style>
  <w:style w:type="character" w:customStyle="1" w:styleId="68">
    <w:name w:val="keyword"/>
    <w:basedOn w:val="27"/>
    <w:qFormat/>
    <w:uiPriority w:val="0"/>
  </w:style>
  <w:style w:type="paragraph" w:customStyle="1" w:styleId="69">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0">
    <w:name w:val="Doc-text2"/>
    <w:basedOn w:val="1"/>
    <w:link w:val="71"/>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1">
    <w:name w:val="Doc-text2 Char"/>
    <w:link w:val="70"/>
    <w:qFormat/>
    <w:uiPriority w:val="0"/>
    <w:rPr>
      <w:rFonts w:ascii="Arial" w:hAnsi="Arial" w:eastAsia="MS Mincho"/>
      <w:szCs w:val="24"/>
      <w:lang w:val="en-GB" w:eastAsia="en-GB"/>
    </w:rPr>
  </w:style>
  <w:style w:type="character" w:customStyle="1" w:styleId="72">
    <w:name w:val="正文文本缩进 Char"/>
    <w:basedOn w:val="27"/>
    <w:link w:val="18"/>
    <w:semiHidden/>
    <w:qFormat/>
    <w:uiPriority w:val="99"/>
    <w:rPr>
      <w:sz w:val="22"/>
      <w:szCs w:val="22"/>
    </w:rPr>
  </w:style>
  <w:style w:type="paragraph" w:customStyle="1" w:styleId="73">
    <w:name w:val="main text"/>
    <w:basedOn w:val="1"/>
    <w:link w:val="74"/>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4">
    <w:name w:val="main text Char"/>
    <w:link w:val="73"/>
    <w:qFormat/>
    <w:uiPriority w:val="0"/>
    <w:rPr>
      <w:rFonts w:ascii="Times New Roman" w:hAnsi="Times New Roman" w:eastAsia="Malgun Gothic"/>
      <w:lang w:val="en-GB" w:eastAsia="ko-KR"/>
    </w:rPr>
  </w:style>
  <w:style w:type="paragraph" w:customStyle="1" w:styleId="75">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6">
    <w:name w:val="样式 正文缩进d + 首行缩进:  2 字符 段前: 0.35 行"/>
    <w:basedOn w:val="14"/>
    <w:link w:val="77"/>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7">
    <w:name w:val="样式 正文缩进d + 首行缩进:  2 字符 段前: 0.35 行 Char"/>
    <w:link w:val="76"/>
    <w:qFormat/>
    <w:uiPriority w:val="0"/>
    <w:rPr>
      <w:rFonts w:ascii="Times New Roman" w:hAnsi="Times New Roman" w:eastAsia="楷体_GB2312"/>
      <w:snapToGrid w:val="0"/>
      <w:sz w:val="28"/>
    </w:rPr>
  </w:style>
  <w:style w:type="paragraph" w:customStyle="1" w:styleId="78">
    <w:name w:val="B2"/>
    <w:basedOn w:val="19"/>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9">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0">
    <w:name w:val="TAH Car"/>
    <w:link w:val="59"/>
    <w:qFormat/>
    <w:uiPriority w:val="0"/>
    <w:rPr>
      <w:rFonts w:ascii="Arial" w:hAnsi="Arial"/>
      <w:b/>
      <w:sz w:val="18"/>
      <w:lang w:val="en-GB" w:eastAsia="en-US"/>
    </w:rPr>
  </w:style>
  <w:style w:type="paragraph" w:customStyle="1" w:styleId="81">
    <w:name w:val="_Style 1"/>
    <w:basedOn w:val="1"/>
    <w:qFormat/>
    <w:uiPriority w:val="34"/>
    <w:pPr>
      <w:ind w:left="840" w:leftChars="400"/>
    </w:pPr>
  </w:style>
  <w:style w:type="paragraph" w:customStyle="1" w:styleId="82">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3">
    <w:name w:val="B1"/>
    <w:basedOn w:val="25"/>
    <w:qFormat/>
    <w:uiPriority w:val="0"/>
  </w:style>
  <w:style w:type="paragraph" w:customStyle="1" w:styleId="84">
    <w:name w:val="EQ"/>
    <w:basedOn w:val="1"/>
    <w:next w:val="1"/>
    <w:unhideWhenUsed/>
    <w:qFormat/>
    <w:uiPriority w:val="0"/>
    <w:pPr>
      <w:keepLines/>
      <w:tabs>
        <w:tab w:val="center" w:pos="4536"/>
        <w:tab w:val="right" w:pos="9072"/>
      </w:tabs>
    </w:pPr>
    <w:rPr>
      <w:sz w:val="24"/>
    </w:rPr>
  </w:style>
  <w:style w:type="paragraph" w:customStyle="1" w:styleId="85">
    <w:name w:val="List Paragraph2"/>
    <w:basedOn w:val="1"/>
    <w:qFormat/>
    <w:uiPriority w:val="99"/>
    <w:pPr>
      <w:ind w:firstLine="420" w:firstLineChars="200"/>
    </w:pPr>
  </w:style>
  <w:style w:type="paragraph" w:customStyle="1" w:styleId="86">
    <w:name w:val="No Spacing1"/>
    <w:qFormat/>
    <w:uiPriority w:val="1"/>
    <w:rPr>
      <w:rFonts w:ascii="Times New Roman" w:hAnsi="Times New Roman" w:eastAsia="宋体" w:cs="Times New Roman"/>
      <w:sz w:val="22"/>
      <w:szCs w:val="22"/>
      <w:lang w:val="en-US" w:eastAsia="zh-CN" w:bidi="ar-SA"/>
    </w:rPr>
  </w:style>
  <w:style w:type="paragraph" w:customStyle="1" w:styleId="87">
    <w:name w:val="Comments"/>
    <w:basedOn w:val="1"/>
    <w:qFormat/>
    <w:uiPriority w:val="0"/>
    <w:pPr>
      <w:spacing w:before="40"/>
    </w:pPr>
    <w:rPr>
      <w:rFonts w:ascii="Arial" w:hAnsi="Arial" w:eastAsia="MS Mincho"/>
      <w:i/>
      <w:sz w:val="18"/>
      <w:lang w:eastAsia="en-GB"/>
    </w:rPr>
  </w:style>
  <w:style w:type="paragraph" w:customStyle="1" w:styleId="88">
    <w:name w:val="列出段落2"/>
    <w:basedOn w:val="1"/>
    <w:qFormat/>
    <w:uiPriority w:val="34"/>
    <w:pPr>
      <w:ind w:left="840" w:leftChars="400"/>
    </w:pPr>
  </w:style>
  <w:style w:type="paragraph" w:customStyle="1" w:styleId="8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0">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1">
    <w:name w:val="列出段落3"/>
    <w:basedOn w:val="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8.emf"/><Relationship Id="rId16" Type="http://schemas.openxmlformats.org/officeDocument/2006/relationships/oleObject" Target="embeddings/oleObject5.bin"/><Relationship Id="rId15" Type="http://schemas.openxmlformats.org/officeDocument/2006/relationships/image" Target="media/image7.emf"/><Relationship Id="rId14" Type="http://schemas.openxmlformats.org/officeDocument/2006/relationships/oleObject" Target="embeddings/oleObject4.bin"/><Relationship Id="rId13" Type="http://schemas.openxmlformats.org/officeDocument/2006/relationships/image" Target="media/image6.emf"/><Relationship Id="rId12" Type="http://schemas.openxmlformats.org/officeDocument/2006/relationships/oleObject" Target="embeddings/oleObject3.bin"/><Relationship Id="rId11" Type="http://schemas.openxmlformats.org/officeDocument/2006/relationships/image" Target="media/image5.jpeg"/><Relationship Id="rId10" Type="http://schemas.openxmlformats.org/officeDocument/2006/relationships/image" Target="media/image4.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D36D2F-1729-468F-92C5-05D386339208}">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7</Pages>
  <Words>2669</Words>
  <Characters>15217</Characters>
  <Lines>126</Lines>
  <Paragraphs>35</Paragraphs>
  <TotalTime>3</TotalTime>
  <ScaleCrop>false</ScaleCrop>
  <LinksUpToDate>false</LinksUpToDate>
  <CharactersWithSpaces>17851</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2019-03-30T04:13:00Z</dcterms:created>
  <dc:creator>ZTE</dc:creator>
  <cp:lastModifiedBy>Chuangxin</cp:lastModifiedBy>
  <dcterms:modified xsi:type="dcterms:W3CDTF">2019-03-30T04:23:50Z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